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0"/>
          <w:szCs w:val="40"/>
        </w:rPr>
      </w:pPr>
      <w:bookmarkStart w:colFirst="0" w:colLast="0" w:name="_heading=h.58j3dmgffcy7" w:id="0"/>
      <w:bookmarkEnd w:id="0"/>
      <w:r w:rsidDel="00000000" w:rsidR="00000000" w:rsidRPr="00000000">
        <w:rPr>
          <w:rtl w:val="0"/>
        </w:rPr>
      </w:r>
    </w:p>
    <w:p w:rsidR="00000000" w:rsidDel="00000000" w:rsidP="00000000" w:rsidRDefault="00000000" w:rsidRPr="00000000" w14:paraId="00000002">
      <w:pPr>
        <w:pStyle w:val="Heading1"/>
        <w:rPr>
          <w:b w:val="1"/>
          <w:bCs w:val="1"/>
          <w:sz w:val="44"/>
          <w:szCs w:val="44"/>
        </w:rPr>
      </w:pPr>
      <w:bookmarkStart w:colFirst="0" w:colLast="0" w:name="_heading=h.dvgjqka7fzri" w:id="1"/>
      <w:bookmarkEnd w:id="1"/>
      <w:r w:rsidDel="00000000" w:rsidR="00000000" w:rsidRPr="00000000">
        <w:rPr>
          <w:sz w:val="44"/>
          <w:szCs w:val="44"/>
          <w:rtl w:val="0"/>
        </w:rPr>
        <w:t xml:space="preserve">Cérémonie de remise des Trophées TO’A Reef : plus de 300 acteurs polynésiens réunis</w:t>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L’Ifrecor Polynésie, l’État et le Pays ont organisé la seconde édition de « Te Mana o Te Moana Nui a Hiva – Unir nos actions pour préserver le Mana de notre Océan », le 28 janvier à l’Intercontinental Tahiti, afin de célébrer la réussite historique de la mobilisation polynésienne à l’UNOC3 et d’inscrire cette dynamique collective dans la mise en œuvre du traité BBNJ sur la haute mer. Retour en images sur la Cérémonie de remise des Trophées TO’A Reef de l’Ifrecor Polynésie, qui a rassemblé plus de 300 acteurs de la communauté polynésienne de l’océan.</w:t>
      </w:r>
    </w:p>
    <w:p w:rsidR="00000000" w:rsidDel="00000000" w:rsidP="00000000" w:rsidRDefault="00000000" w:rsidRPr="00000000" w14:paraId="00000004">
      <w:pPr>
        <w:rPr>
          <w:b w:val="1"/>
          <w:bCs w:val="1"/>
        </w:rPr>
      </w:pPr>
      <w:r w:rsidDel="00000000" w:rsidR="00000000" w:rsidRPr="00000000">
        <w:rPr>
          <w:rtl w:val="0"/>
        </w:rPr>
        <w:t xml:space="preserve">Une dynamique collective saluée par la Ministre déléguée chargée de la Mer et de la Pêche, Catherine CHABAUD, dans un message vidéo à la Polynésie : “Les lauréats que nous honorons aujourd'hui incarnent cet engagement. Ils sont la preuve vivante que l'océan rassemble, inspire et appelle chacun de nous à l'action. Je les félicite chaleureusement pour leur contribution exceptionnelle à la préservation de notre océan. Merci pour votre engagement au service de l'océan, notre bien commun à tous”.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Placé</w:t>
      </w:r>
      <w:r w:rsidDel="00000000" w:rsidR="00000000" w:rsidRPr="00000000">
        <w:rPr>
          <w:b w:val="1"/>
          <w:bCs w:val="1"/>
          <w:rtl w:val="0"/>
        </w:rPr>
        <w:t xml:space="preserve"> </w:t>
      </w:r>
      <w:r w:rsidDel="00000000" w:rsidR="00000000" w:rsidRPr="00000000">
        <w:rPr>
          <w:rtl w:val="0"/>
        </w:rPr>
        <w:t xml:space="preserve">sous</w:t>
      </w:r>
      <w:r w:rsidDel="00000000" w:rsidR="00000000" w:rsidRPr="00000000">
        <w:rPr>
          <w:rtl w:val="0"/>
        </w:rPr>
        <w:t xml:space="preserve"> le haut patronage du Haut-commissaire de la République, Alexandre ROCHATTE et du Président de la Polynésie française Moetai BROTHERSON, représenté par sa Vice-présidente Minarii Chantal GALENON, en présence du contre-amiral Guillaume PINGET, commandant la zone Asie-Pacifique et les forces armées en Polynésie française, du sénateur Teva ROHFRITSCH, de nombreux ministres du gouvernement polynésien, de la 1ère vice-présidente du Conseil économique, social, environnemental et culturel de la Polynésie française (CESEC), des maires, tavana des îles et hakaiki des Marquises, du président de l’Académie tahitienne, du président du Cluster maritime de Polynésie française, Stéphane PEREZ, du président du groupe Pacific Beachcomber et Tetiaroa Society, Richard Bailey, du Comité Organisateur des Jeux du Pacifique - Tahiti 2027, l’événement a rassemblé les acteurs privés du maritime et de l’économie bleue, les directions et établissements publics de l’Etat et du Pays,  les associations et acteurs de terrain qui agissent au quotidien pour la protection des récifs et lagons et de leur biodiversité.</w:t>
      </w:r>
    </w:p>
    <w:p w:rsidR="00000000" w:rsidDel="00000000" w:rsidP="00000000" w:rsidRDefault="00000000" w:rsidRPr="00000000" w14:paraId="00000006">
      <w:pPr>
        <w:rPr/>
      </w:pPr>
      <w:r w:rsidDel="00000000" w:rsidR="00000000" w:rsidRPr="00000000">
        <w:rPr>
          <w:rtl w:val="0"/>
        </w:rPr>
        <w:t xml:space="preserve">Avec toute l’énergie positive de la nouvelle génération des gardiens de notre Océan, nos enfants des 5 archipels de Polynésie, qui veillent sur leurs aires marines éducatives. Ils étaient plus d’une trentaine, scolaires et enseignants, de la maternelle au lycée, portés par la Direction générale de l'éducation et des enseignements de Polynésie française (DGEE).</w:t>
      </w:r>
    </w:p>
    <w:p w:rsidR="00000000" w:rsidDel="00000000" w:rsidP="00000000" w:rsidRDefault="00000000" w:rsidRPr="00000000" w14:paraId="00000007">
      <w:pPr>
        <w:rPr/>
      </w:pPr>
      <w:r w:rsidDel="00000000" w:rsidR="00000000" w:rsidRPr="00000000">
        <w:rPr>
          <w:rtl w:val="0"/>
        </w:rPr>
        <w:t xml:space="preserve">Félicitations aux 13 lauréats des Trophées TO’A Reef 2025 de l’Ifrecor Polynésie : </w:t>
      </w:r>
      <w:r w:rsidDel="00000000" w:rsidR="00000000" w:rsidRPr="00000000">
        <w:rPr>
          <w:b w:val="1"/>
          <w:bCs w:val="1"/>
          <w:rtl w:val="0"/>
        </w:rPr>
        <w:t xml:space="preserve">Coral Gardeners</w:t>
      </w:r>
      <w:r w:rsidDel="00000000" w:rsidR="00000000" w:rsidRPr="00000000">
        <w:rPr>
          <w:rtl w:val="0"/>
        </w:rPr>
        <w:t xml:space="preserve"> – Grand Prix TO’A Reef 2025 ; </w:t>
      </w:r>
      <w:r w:rsidDel="00000000" w:rsidR="00000000" w:rsidRPr="00000000">
        <w:rPr>
          <w:b w:val="1"/>
          <w:bCs w:val="1"/>
          <w:rtl w:val="0"/>
        </w:rPr>
        <w:t xml:space="preserve">l’association Oceania</w:t>
      </w:r>
      <w:r w:rsidDel="00000000" w:rsidR="00000000" w:rsidRPr="00000000">
        <w:rPr>
          <w:rtl w:val="0"/>
        </w:rPr>
        <w:t xml:space="preserve"> – Trophée de l’Innovation ; </w:t>
      </w:r>
      <w:r w:rsidDel="00000000" w:rsidR="00000000" w:rsidRPr="00000000">
        <w:rPr>
          <w:b w:val="1"/>
          <w:bCs w:val="1"/>
          <w:rtl w:val="0"/>
        </w:rPr>
        <w:t xml:space="preserve">l’association</w:t>
      </w:r>
      <w:r w:rsidDel="00000000" w:rsidR="00000000" w:rsidRPr="00000000">
        <w:rPr>
          <w:rtl w:val="0"/>
        </w:rPr>
        <w:t xml:space="preserve"> </w:t>
      </w:r>
      <w:r w:rsidDel="00000000" w:rsidR="00000000" w:rsidRPr="00000000">
        <w:rPr>
          <w:b w:val="1"/>
          <w:bCs w:val="1"/>
          <w:rtl w:val="0"/>
        </w:rPr>
        <w:t xml:space="preserve">Tama No Te Tairoto</w:t>
      </w:r>
      <w:r w:rsidDel="00000000" w:rsidR="00000000" w:rsidRPr="00000000">
        <w:rPr>
          <w:rtl w:val="0"/>
        </w:rPr>
        <w:t xml:space="preserve">  – Trophée de la Sensibilisation ; </w:t>
      </w:r>
      <w:r w:rsidDel="00000000" w:rsidR="00000000" w:rsidRPr="00000000">
        <w:rPr>
          <w:b w:val="1"/>
          <w:bCs w:val="1"/>
          <w:rtl w:val="0"/>
        </w:rPr>
        <w:t xml:space="preserve">l’association de Huahine A Ti'a Matairea</w:t>
      </w:r>
      <w:r w:rsidDel="00000000" w:rsidR="00000000" w:rsidRPr="00000000">
        <w:rPr>
          <w:rtl w:val="0"/>
        </w:rPr>
        <w:t xml:space="preserve"> – Trophée des Archipels, </w:t>
      </w:r>
      <w:r w:rsidDel="00000000" w:rsidR="00000000" w:rsidRPr="00000000">
        <w:rPr>
          <w:b w:val="1"/>
          <w:bCs w:val="1"/>
          <w:rtl w:val="0"/>
        </w:rPr>
        <w:t xml:space="preserve">l’association Te Aho To’a</w:t>
      </w:r>
      <w:r w:rsidDel="00000000" w:rsidR="00000000" w:rsidRPr="00000000">
        <w:rPr>
          <w:rtl w:val="0"/>
        </w:rPr>
        <w:t xml:space="preserve"> – Trophée Science participative, et </w:t>
      </w:r>
      <w:r w:rsidDel="00000000" w:rsidR="00000000" w:rsidRPr="00000000">
        <w:rPr>
          <w:b w:val="1"/>
          <w:bCs w:val="1"/>
          <w:rtl w:val="0"/>
        </w:rPr>
        <w:t xml:space="preserve">l’association Te mana o te moana</w:t>
      </w:r>
      <w:r w:rsidDel="00000000" w:rsidR="00000000" w:rsidRPr="00000000">
        <w:rPr>
          <w:rtl w:val="0"/>
        </w:rPr>
        <w:t xml:space="preserve"> – Prix Coup de Cœur du Public.</w:t>
      </w:r>
    </w:p>
    <w:p w:rsidR="00000000" w:rsidDel="00000000" w:rsidP="00000000" w:rsidRDefault="00000000" w:rsidRPr="00000000" w14:paraId="00000008">
      <w:pPr>
        <w:rPr/>
      </w:pPr>
      <w:r w:rsidDel="00000000" w:rsidR="00000000" w:rsidRPr="00000000">
        <w:rPr>
          <w:rtl w:val="0"/>
        </w:rPr>
        <w:t xml:space="preserve">Bravo aux 7 écoles lauréates des Trophées TO’A Reef des Écoles </w:t>
      </w:r>
      <w:r w:rsidDel="00000000" w:rsidR="00000000" w:rsidRPr="00000000">
        <w:rPr>
          <w:b w:val="1"/>
          <w:bCs w:val="1"/>
          <w:rtl w:val="0"/>
        </w:rPr>
        <w:t xml:space="preserve">“Mon récif, ma culture”</w:t>
      </w:r>
      <w:r w:rsidDel="00000000" w:rsidR="00000000" w:rsidRPr="00000000">
        <w:rPr>
          <w:rtl w:val="0"/>
        </w:rPr>
        <w:t xml:space="preserve"> : CLM Tahiti Collège-Lycée La Mennais  - Prix Coup de Cœur du Public des écoles, École primaire de Maiao, GS Teina Mahu de Tubuai, École primaire Te Tahua O Fariki No Hao de HAO, Collège de Rangiroa, Institut d'Insertion Médico-Educatif Tearama de Paea et le Lycée professionnel de Faa'a</w:t>
      </w:r>
    </w:p>
    <w:p w:rsidR="00000000" w:rsidDel="00000000" w:rsidP="00000000" w:rsidRDefault="00000000" w:rsidRPr="00000000" w14:paraId="00000009">
      <w:pPr>
        <w:rPr/>
      </w:pPr>
      <w:r w:rsidDel="00000000" w:rsidR="00000000" w:rsidRPr="00000000">
        <w:rPr>
          <w:rtl w:val="0"/>
        </w:rPr>
        <w:t xml:space="preserve">Cette journée d’échange, de transmission et de partage pour célébrer le Mana de notre Océan, a aussi fédéré une vingtaine d’associations, organismes de recherche et services du Pays au sein du VILLAGE DE TO’A. Ils sont venus présenter au public, et à plus de 200 scolaires, leurs actions concrètes sur le terrain pour préserver les récifs coralliens et espaces marins de Polynésie.</w:t>
      </w:r>
    </w:p>
    <w:p w:rsidR="00000000" w:rsidDel="00000000" w:rsidP="00000000" w:rsidRDefault="00000000" w:rsidRPr="00000000" w14:paraId="0000000A">
      <w:pPr>
        <w:rPr/>
      </w:pPr>
      <w:r w:rsidDel="00000000" w:rsidR="00000000" w:rsidRPr="00000000">
        <w:rPr>
          <w:b w:val="1"/>
          <w:bCs w:val="1"/>
          <w:rtl w:val="0"/>
        </w:rPr>
        <w:t xml:space="preserve">L’Ifrecor Polynésie tient à remercier ses partenaires privés</w:t>
      </w:r>
      <w:r w:rsidDel="00000000" w:rsidR="00000000" w:rsidRPr="00000000">
        <w:rPr>
          <w:rtl w:val="0"/>
        </w:rPr>
        <w:t xml:space="preserve">, </w:t>
      </w:r>
      <w:r w:rsidDel="00000000" w:rsidR="00000000" w:rsidRPr="00000000">
        <w:rPr>
          <w:rtl w:val="0"/>
        </w:rPr>
        <w:t xml:space="preserve">engagés dans cette belle dynamique collective : le Cluster maritime de Polynésie française, la Banque de Polynésie, la Polynésienne des Eaux, la compagnie Air Tahiti, le groupe Pacific Beachcomber  et l’InterContinental Tahiti Resort &amp; Spa. </w:t>
      </w:r>
    </w:p>
    <w:p w:rsidR="00000000" w:rsidDel="00000000" w:rsidP="00000000" w:rsidRDefault="00000000" w:rsidRPr="00000000" w14:paraId="0000000B">
      <w:pPr>
        <w:jc w:val="left"/>
        <w:rPr/>
      </w:pPr>
      <w:r w:rsidDel="00000000" w:rsidR="00000000" w:rsidRPr="00000000">
        <w:rPr>
          <w:rtl w:val="0"/>
        </w:rPr>
      </w:r>
    </w:p>
    <w:p w:rsidR="00000000" w:rsidDel="00000000" w:rsidP="00000000" w:rsidRDefault="00000000" w:rsidRPr="00000000" w14:paraId="0000000C">
      <w:pPr>
        <w:jc w:val="left"/>
        <w:rPr>
          <w:b w:val="1"/>
          <w:bCs w:val="1"/>
        </w:rPr>
      </w:pPr>
      <w:r w:rsidDel="00000000" w:rsidR="00000000" w:rsidRPr="00000000">
        <w:rPr>
          <w:b w:val="1"/>
          <w:bCs w:val="1"/>
          <w:rtl w:val="0"/>
        </w:rPr>
        <w:t xml:space="preserve">EN SAVOIR PLUS</w:t>
      </w:r>
    </w:p>
    <w:p w:rsidR="00000000" w:rsidDel="00000000" w:rsidP="00000000" w:rsidRDefault="00000000" w:rsidRPr="00000000" w14:paraId="0000000D">
      <w:pPr>
        <w:jc w:val="left"/>
        <w:rPr/>
      </w:pPr>
      <w:hyperlink r:id="rId7">
        <w:r w:rsidDel="00000000" w:rsidR="00000000" w:rsidRPr="00000000">
          <w:rPr>
            <w:color w:val="1155cc"/>
            <w:u w:val="single"/>
            <w:rtl w:val="0"/>
          </w:rPr>
          <w:t xml:space="preserve">&gt; Voir le message vidéo de la Ministre de la Mer et de la Pêche, Catherine CHABAUD</w:t>
        </w:r>
      </w:hyperlink>
      <w:r w:rsidDel="00000000" w:rsidR="00000000" w:rsidRPr="00000000">
        <w:rPr>
          <w:rtl w:val="0"/>
        </w:rPr>
        <w:t xml:space="preserve"> </w:t>
      </w:r>
    </w:p>
    <w:p w:rsidR="00000000" w:rsidDel="00000000" w:rsidP="00000000" w:rsidRDefault="00000000" w:rsidRPr="00000000" w14:paraId="0000000E">
      <w:pPr>
        <w:jc w:val="left"/>
        <w:rPr/>
      </w:pPr>
      <w:hyperlink r:id="rId8">
        <w:r w:rsidDel="00000000" w:rsidR="00000000" w:rsidRPr="00000000">
          <w:rPr>
            <w:color w:val="1155cc"/>
            <w:u w:val="single"/>
            <w:rtl w:val="0"/>
          </w:rPr>
          <w:t xml:space="preserve">&gt; Lire le discours officiel du Haut-commissaire de la République en Polynésie française, Alexandre ROCHATTE</w:t>
        </w:r>
      </w:hyperlink>
      <w:r w:rsidDel="00000000" w:rsidR="00000000" w:rsidRPr="00000000">
        <w:rPr>
          <w:rtl w:val="0"/>
        </w:rPr>
      </w:r>
    </w:p>
    <w:p w:rsidR="00000000" w:rsidDel="00000000" w:rsidP="00000000" w:rsidRDefault="00000000" w:rsidRPr="00000000" w14:paraId="0000000F">
      <w:pPr>
        <w:jc w:val="left"/>
        <w:rPr/>
      </w:pPr>
      <w:hyperlink r:id="rId9">
        <w:r w:rsidDel="00000000" w:rsidR="00000000" w:rsidRPr="00000000">
          <w:rPr>
            <w:color w:val="1155cc"/>
            <w:u w:val="single"/>
            <w:rtl w:val="0"/>
          </w:rPr>
          <w:t xml:space="preserve">&gt; Lire le communiqué de la Présidence de la Polynésie française</w:t>
        </w:r>
      </w:hyperlink>
      <w:r w:rsidDel="00000000" w:rsidR="00000000" w:rsidRPr="00000000">
        <w:rPr>
          <w:rtl w:val="0"/>
        </w:rPr>
      </w:r>
    </w:p>
    <w:sectPr>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Oxygen">
    <w:embedRegular w:fontKey="{00000000-0000-0000-0000-000000000000}" r:id="rId1" w:subsetted="0"/>
    <w:embedBold w:fontKey="{00000000-0000-0000-0000-000000000000}" r:id="rId2" w:subsetted="0"/>
  </w:font>
  <w:font w:name="Roboto Condense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80" w:before="0" w:line="240" w:lineRule="auto"/>
      <w:jc w:val="center"/>
      <w:rPr/>
    </w:pPr>
    <w:r w:rsidDel="00000000" w:rsidR="00000000" w:rsidRPr="00000000">
      <w:rPr>
        <w:rtl w:val="0"/>
      </w:rPr>
    </w:r>
  </w:p>
  <w:p w:rsidR="00000000" w:rsidDel="00000000" w:rsidP="00000000" w:rsidRDefault="00000000" w:rsidRPr="00000000" w14:paraId="00000015">
    <w:pPr>
      <w:spacing w:after="80" w:before="0"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80" w:before="0" w:line="240" w:lineRule="auto"/>
      <w:jc w:val="center"/>
      <w:rPr/>
    </w:pPr>
    <w:r w:rsidDel="00000000" w:rsidR="00000000" w:rsidRPr="00000000">
      <w:rPr>
        <w:rFonts w:ascii="Roboto Condensed" w:cs="Roboto Condensed" w:eastAsia="Roboto Condensed" w:hAnsi="Roboto Condensed"/>
        <w:b w:val="1"/>
        <w:bCs w:val="1"/>
        <w:color w:val="646464"/>
        <w:sz w:val="18"/>
        <w:szCs w:val="18"/>
        <w:rtl w:val="0"/>
      </w:rPr>
      <w:t xml:space="preserve">COMITÉ LOCAL DE L’IFRECOR POLYNÉSIE FRANÇAISE</w:t>
      <w:br w:type="textWrapping"/>
    </w:r>
    <w:r w:rsidDel="00000000" w:rsidR="00000000" w:rsidRPr="00000000">
      <w:rPr>
        <w:rFonts w:ascii="Roboto Condensed" w:cs="Roboto Condensed" w:eastAsia="Roboto Condensed" w:hAnsi="Roboto Condensed"/>
        <w:i w:val="1"/>
        <w:iCs w:val="1"/>
        <w:color w:val="646464"/>
        <w:sz w:val="16"/>
        <w:szCs w:val="16"/>
        <w:rtl w:val="0"/>
      </w:rPr>
      <w:t xml:space="preserve">R</w:t>
    </w:r>
    <w:r w:rsidDel="00000000" w:rsidR="00000000" w:rsidRPr="00000000">
      <w:rPr>
        <w:rFonts w:ascii="Roboto Condensed" w:cs="Roboto Condensed" w:eastAsia="Roboto Condensed" w:hAnsi="Roboto Condensed"/>
        <w:i w:val="1"/>
        <w:iCs w:val="1"/>
        <w:color w:val="646464"/>
        <w:sz w:val="18"/>
        <w:szCs w:val="18"/>
        <w:rtl w:val="0"/>
      </w:rPr>
      <w:t xml:space="preserve">eprésentante et coordinatrice : Muriel PONTAROLLO -  Email : </w:t>
    </w:r>
    <w:hyperlink r:id="rId1">
      <w:r w:rsidDel="00000000" w:rsidR="00000000" w:rsidRPr="00000000">
        <w:rPr>
          <w:rFonts w:ascii="Roboto Condensed" w:cs="Roboto Condensed" w:eastAsia="Roboto Condensed" w:hAnsi="Roboto Condensed"/>
          <w:i w:val="1"/>
          <w:iCs w:val="1"/>
          <w:color w:val="1155cc"/>
          <w:sz w:val="18"/>
          <w:szCs w:val="18"/>
          <w:u w:val="single"/>
          <w:rtl w:val="0"/>
        </w:rPr>
        <w:t xml:space="preserve">ifrecor.pf@gmail.com</w:t>
      </w:r>
    </w:hyperlink>
    <w:r w:rsidDel="00000000" w:rsidR="00000000" w:rsidRPr="00000000">
      <w:rPr>
        <w:rFonts w:ascii="Roboto Condensed" w:cs="Roboto Condensed" w:eastAsia="Roboto Condensed" w:hAnsi="Roboto Condensed"/>
        <w:i w:val="1"/>
        <w:iCs w:val="1"/>
        <w:color w:val="646464"/>
        <w:sz w:val="18"/>
        <w:szCs w:val="18"/>
        <w:rtl w:val="0"/>
      </w:rPr>
      <w:t xml:space="preserve"> - </w:t>
    </w:r>
    <w:r w:rsidDel="00000000" w:rsidR="00000000" w:rsidRPr="00000000">
      <w:rPr>
        <w:rFonts w:ascii="Roboto Condensed" w:cs="Roboto Condensed" w:eastAsia="Roboto Condensed" w:hAnsi="Roboto Condensed"/>
        <w:i w:val="1"/>
        <w:iCs w:val="1"/>
        <w:color w:val="1155cc"/>
        <w:sz w:val="18"/>
        <w:szCs w:val="18"/>
        <w:highlight w:val="white"/>
        <w:rtl w:val="0"/>
      </w:rPr>
      <w:t xml:space="preserve"> </w:t>
    </w:r>
    <w:r w:rsidDel="00000000" w:rsidR="00000000" w:rsidRPr="00000000">
      <w:rPr>
        <w:rFonts w:ascii="Roboto Condensed" w:cs="Roboto Condensed" w:eastAsia="Roboto Condensed" w:hAnsi="Roboto Condensed"/>
        <w:i w:val="1"/>
        <w:iCs w:val="1"/>
        <w:color w:val="646464"/>
        <w:sz w:val="18"/>
        <w:szCs w:val="18"/>
        <w:rtl w:val="0"/>
      </w:rPr>
      <w:t xml:space="preserve">Tél : </w:t>
    </w:r>
    <w:r w:rsidDel="00000000" w:rsidR="00000000" w:rsidRPr="00000000">
      <w:rPr>
        <w:rFonts w:ascii="Roboto Condensed" w:cs="Roboto Condensed" w:eastAsia="Roboto Condensed" w:hAnsi="Roboto Condensed"/>
        <w:i w:val="1"/>
        <w:iCs w:val="1"/>
        <w:color w:val="1155cc"/>
        <w:sz w:val="18"/>
        <w:szCs w:val="18"/>
        <w:rtl w:val="0"/>
      </w:rPr>
      <w:t xml:space="preserve">+689 87 78 70 87 </w:t>
    </w:r>
    <w:r w:rsidDel="00000000" w:rsidR="00000000" w:rsidRPr="00000000">
      <w:rPr>
        <w:rFonts w:ascii="Roboto Condensed" w:cs="Roboto Condensed" w:eastAsia="Roboto Condensed" w:hAnsi="Roboto Condensed"/>
        <w:i w:val="1"/>
        <w:iCs w:val="1"/>
        <w:color w:val="666666"/>
        <w:sz w:val="18"/>
        <w:szCs w:val="18"/>
        <w:rtl w:val="0"/>
      </w:rPr>
      <w:t xml:space="preserve"> </w:t>
    </w:r>
    <w:r w:rsidDel="00000000" w:rsidR="00000000" w:rsidRPr="00000000">
      <w:rPr>
        <w:rFonts w:ascii="Roboto Condensed" w:cs="Roboto Condensed" w:eastAsia="Roboto Condensed" w:hAnsi="Roboto Condensed"/>
        <w:i w:val="1"/>
        <w:iCs w:val="1"/>
        <w:sz w:val="18"/>
        <w:szCs w:val="18"/>
        <w:rtl w:val="0"/>
      </w:rPr>
      <w:t xml:space="preserve">| </w:t>
    </w:r>
    <w:r w:rsidDel="00000000" w:rsidR="00000000" w:rsidRPr="00000000">
      <w:rPr>
        <w:rFonts w:ascii="Roboto Condensed" w:cs="Roboto Condensed" w:eastAsia="Roboto Condensed" w:hAnsi="Roboto Condensed"/>
        <w:i w:val="1"/>
        <w:iCs w:val="1"/>
        <w:color w:val="666666"/>
        <w:sz w:val="18"/>
        <w:szCs w:val="18"/>
        <w:rtl w:val="0"/>
      </w:rPr>
      <w:t xml:space="preserve">-10 GMT</w:t>
    </w:r>
    <w:r w:rsidDel="00000000" w:rsidR="00000000" w:rsidRPr="00000000">
      <w:rPr>
        <w:rtl w:val="0"/>
      </w:rPr>
    </w:r>
  </w:p>
  <w:p w:rsidR="00000000" w:rsidDel="00000000" w:rsidP="00000000" w:rsidRDefault="00000000" w:rsidRPr="00000000" w14:paraId="00000017">
    <w:pPr>
      <w:spacing w:after="80" w:before="0" w:line="240" w:lineRule="auto"/>
      <w:jc w:val="right"/>
      <w:rPr>
        <w:color w:val="4c772d"/>
        <w:sz w:val="36"/>
        <w:szCs w:val="36"/>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spacing w:after="80" w:before="0" w:line="240" w:lineRule="auto"/>
      <w:jc w:val="right"/>
      <w:rPr>
        <w:color w:val="4c772d"/>
        <w:sz w:val="36"/>
        <w:szCs w:val="3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80" w:before="0" w:line="240" w:lineRule="auto"/>
      <w:jc w:val="center"/>
      <w:rPr>
        <w:rFonts w:ascii="Roboto Condensed" w:cs="Roboto Condensed" w:eastAsia="Roboto Condensed" w:hAnsi="Roboto Condensed"/>
        <w:b w:val="1"/>
        <w:bCs w:val="1"/>
        <w:color w:val="646464"/>
        <w:sz w:val="18"/>
        <w:szCs w:val="18"/>
      </w:rPr>
    </w:pPr>
    <w:r w:rsidDel="00000000" w:rsidR="00000000" w:rsidRPr="00000000">
      <w:rPr>
        <w:rtl w:val="0"/>
      </w:rPr>
    </w:r>
  </w:p>
  <w:p w:rsidR="00000000" w:rsidDel="00000000" w:rsidP="00000000" w:rsidRDefault="00000000" w:rsidRPr="00000000" w14:paraId="0000001A">
    <w:pPr>
      <w:spacing w:after="80" w:before="0" w:line="240" w:lineRule="auto"/>
      <w:jc w:val="center"/>
      <w:rPr>
        <w:rFonts w:ascii="Roboto Condensed" w:cs="Roboto Condensed" w:eastAsia="Roboto Condensed" w:hAnsi="Roboto Condensed"/>
        <w:b w:val="1"/>
        <w:bCs w:val="1"/>
        <w:color w:val="646464"/>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80" w:before="0" w:line="240" w:lineRule="auto"/>
      <w:jc w:val="center"/>
      <w:rPr>
        <w:rFonts w:ascii="Roboto Condensed" w:cs="Roboto Condensed" w:eastAsia="Roboto Condensed" w:hAnsi="Roboto Condensed"/>
        <w:i w:val="1"/>
        <w:iCs w:val="1"/>
        <w:color w:val="666666"/>
        <w:sz w:val="18"/>
        <w:szCs w:val="18"/>
      </w:rPr>
    </w:pPr>
    <w:r w:rsidDel="00000000" w:rsidR="00000000" w:rsidRPr="00000000">
      <w:rPr>
        <w:rFonts w:ascii="Roboto Condensed" w:cs="Roboto Condensed" w:eastAsia="Roboto Condensed" w:hAnsi="Roboto Condensed"/>
        <w:b w:val="1"/>
        <w:bCs w:val="1"/>
        <w:color w:val="646464"/>
        <w:sz w:val="18"/>
        <w:szCs w:val="18"/>
        <w:rtl w:val="0"/>
      </w:rPr>
      <w:t xml:space="preserve">COMITÉ LOCAL DE L’IFRECOR POLYNÉSIE FRANÇAISE</w:t>
      <w:br w:type="textWrapping"/>
    </w:r>
    <w:r w:rsidDel="00000000" w:rsidR="00000000" w:rsidRPr="00000000">
      <w:rPr>
        <w:rFonts w:ascii="Roboto Condensed" w:cs="Roboto Condensed" w:eastAsia="Roboto Condensed" w:hAnsi="Roboto Condensed"/>
        <w:i w:val="1"/>
        <w:iCs w:val="1"/>
        <w:color w:val="646464"/>
        <w:sz w:val="16"/>
        <w:szCs w:val="16"/>
        <w:rtl w:val="0"/>
      </w:rPr>
      <w:t xml:space="preserve">R</w:t>
    </w:r>
    <w:r w:rsidDel="00000000" w:rsidR="00000000" w:rsidRPr="00000000">
      <w:rPr>
        <w:rFonts w:ascii="Roboto Condensed" w:cs="Roboto Condensed" w:eastAsia="Roboto Condensed" w:hAnsi="Roboto Condensed"/>
        <w:i w:val="1"/>
        <w:iCs w:val="1"/>
        <w:color w:val="646464"/>
        <w:sz w:val="18"/>
        <w:szCs w:val="18"/>
        <w:rtl w:val="0"/>
      </w:rPr>
      <w:t xml:space="preserve">eprésentante et coordinatrice : Muriel PONTAROLLO -  Email : </w:t>
    </w:r>
    <w:hyperlink r:id="rId1">
      <w:r w:rsidDel="00000000" w:rsidR="00000000" w:rsidRPr="00000000">
        <w:rPr>
          <w:rFonts w:ascii="Roboto Condensed" w:cs="Roboto Condensed" w:eastAsia="Roboto Condensed" w:hAnsi="Roboto Condensed"/>
          <w:i w:val="1"/>
          <w:iCs w:val="1"/>
          <w:color w:val="1155cc"/>
          <w:sz w:val="18"/>
          <w:szCs w:val="18"/>
          <w:u w:val="single"/>
          <w:rtl w:val="0"/>
        </w:rPr>
        <w:t xml:space="preserve">ifrecor.pf@gmail.com</w:t>
      </w:r>
    </w:hyperlink>
    <w:r w:rsidDel="00000000" w:rsidR="00000000" w:rsidRPr="00000000">
      <w:rPr>
        <w:rFonts w:ascii="Roboto Condensed" w:cs="Roboto Condensed" w:eastAsia="Roboto Condensed" w:hAnsi="Roboto Condensed"/>
        <w:i w:val="1"/>
        <w:iCs w:val="1"/>
        <w:color w:val="646464"/>
        <w:sz w:val="18"/>
        <w:szCs w:val="18"/>
        <w:rtl w:val="0"/>
      </w:rPr>
      <w:t xml:space="preserve"> - </w:t>
    </w:r>
    <w:r w:rsidDel="00000000" w:rsidR="00000000" w:rsidRPr="00000000">
      <w:rPr>
        <w:rFonts w:ascii="Roboto Condensed" w:cs="Roboto Condensed" w:eastAsia="Roboto Condensed" w:hAnsi="Roboto Condensed"/>
        <w:i w:val="1"/>
        <w:iCs w:val="1"/>
        <w:color w:val="1155cc"/>
        <w:sz w:val="18"/>
        <w:szCs w:val="18"/>
        <w:highlight w:val="white"/>
        <w:rtl w:val="0"/>
      </w:rPr>
      <w:t xml:space="preserve"> </w:t>
    </w:r>
    <w:r w:rsidDel="00000000" w:rsidR="00000000" w:rsidRPr="00000000">
      <w:rPr>
        <w:rFonts w:ascii="Roboto Condensed" w:cs="Roboto Condensed" w:eastAsia="Roboto Condensed" w:hAnsi="Roboto Condensed"/>
        <w:i w:val="1"/>
        <w:iCs w:val="1"/>
        <w:color w:val="646464"/>
        <w:sz w:val="18"/>
        <w:szCs w:val="18"/>
        <w:rtl w:val="0"/>
      </w:rPr>
      <w:t xml:space="preserve">Tél : </w:t>
    </w:r>
    <w:r w:rsidDel="00000000" w:rsidR="00000000" w:rsidRPr="00000000">
      <w:rPr>
        <w:rFonts w:ascii="Roboto Condensed" w:cs="Roboto Condensed" w:eastAsia="Roboto Condensed" w:hAnsi="Roboto Condensed"/>
        <w:i w:val="1"/>
        <w:iCs w:val="1"/>
        <w:color w:val="1155cc"/>
        <w:sz w:val="18"/>
        <w:szCs w:val="18"/>
        <w:rtl w:val="0"/>
      </w:rPr>
      <w:t xml:space="preserve">+689 87 78 70 87 </w:t>
    </w:r>
    <w:r w:rsidDel="00000000" w:rsidR="00000000" w:rsidRPr="00000000">
      <w:rPr>
        <w:rFonts w:ascii="Roboto Condensed" w:cs="Roboto Condensed" w:eastAsia="Roboto Condensed" w:hAnsi="Roboto Condensed"/>
        <w:i w:val="1"/>
        <w:iCs w:val="1"/>
        <w:color w:val="666666"/>
        <w:sz w:val="18"/>
        <w:szCs w:val="18"/>
        <w:rtl w:val="0"/>
      </w:rPr>
      <w:t xml:space="preserve"> </w:t>
    </w:r>
    <w:r w:rsidDel="00000000" w:rsidR="00000000" w:rsidRPr="00000000">
      <w:rPr>
        <w:rFonts w:ascii="Roboto Condensed" w:cs="Roboto Condensed" w:eastAsia="Roboto Condensed" w:hAnsi="Roboto Condensed"/>
        <w:i w:val="1"/>
        <w:iCs w:val="1"/>
        <w:sz w:val="18"/>
        <w:szCs w:val="18"/>
        <w:rtl w:val="0"/>
      </w:rPr>
      <w:t xml:space="preserve">| </w:t>
    </w:r>
    <w:r w:rsidDel="00000000" w:rsidR="00000000" w:rsidRPr="00000000">
      <w:rPr>
        <w:rFonts w:ascii="Roboto Condensed" w:cs="Roboto Condensed" w:eastAsia="Roboto Condensed" w:hAnsi="Roboto Condensed"/>
        <w:i w:val="1"/>
        <w:iCs w:val="1"/>
        <w:color w:val="666666"/>
        <w:sz w:val="18"/>
        <w:szCs w:val="18"/>
        <w:rtl w:val="0"/>
      </w:rPr>
      <w:t xml:space="preserve">-10 GMT</w:t>
    </w:r>
  </w:p>
  <w:p w:rsidR="00000000" w:rsidDel="00000000" w:rsidP="00000000" w:rsidRDefault="00000000" w:rsidRPr="00000000" w14:paraId="0000001C">
    <w:pPr>
      <w:spacing w:after="80" w:before="0" w:line="240" w:lineRule="auto"/>
      <w:jc w:val="right"/>
      <w:rPr>
        <w:color w:val="4c772d"/>
        <w:sz w:val="36"/>
        <w:szCs w:val="36"/>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spacing w:after="80" w:before="0" w:line="240" w:lineRule="auto"/>
      <w:jc w:val="right"/>
      <w:rPr>
        <w:color w:val="4c772d"/>
        <w:sz w:val="36"/>
        <w:szCs w:val="3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Oxygen" w:cs="Oxygen" w:eastAsia="Oxygen" w:hAnsi="Oxyge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1"/>
      <w:keepLines w:val="1"/>
      <w:spacing w:line="240" w:lineRule="auto"/>
      <w:jc w:val="right"/>
      <w:rPr>
        <w:b w:val="1"/>
        <w:bCs w:val="1"/>
        <w:color w:val="1c4587"/>
        <w:sz w:val="24"/>
        <w:szCs w:val="24"/>
      </w:rPr>
    </w:pPr>
    <w:r w:rsidDel="00000000" w:rsidR="00000000" w:rsidRPr="00000000">
      <w:rPr>
        <w:b w:val="1"/>
        <w:bCs w:val="1"/>
        <w:color w:val="1c4587"/>
        <w:sz w:val="24"/>
        <w:szCs w:val="24"/>
        <w:rtl w:val="0"/>
      </w:rPr>
      <w:t xml:space="preserve">COMMUNIQUÉ</w:t>
    </w:r>
    <w:r w:rsidDel="00000000" w:rsidR="00000000" w:rsidRPr="00000000">
      <w:drawing>
        <wp:anchor allowOverlap="1" behindDoc="0" distB="114300" distT="114300" distL="114300" distR="114300" hidden="0" layoutInCell="1" locked="0" relativeHeight="0" simplePos="0">
          <wp:simplePos x="0" y="0"/>
          <wp:positionH relativeFrom="column">
            <wp:posOffset>19058</wp:posOffset>
          </wp:positionH>
          <wp:positionV relativeFrom="paragraph">
            <wp:posOffset>19058</wp:posOffset>
          </wp:positionV>
          <wp:extent cx="1798955" cy="762000"/>
          <wp:effectExtent b="0" l="0" r="0" t="0"/>
          <wp:wrapSquare wrapText="bothSides" distB="114300" distT="114300" distL="114300" distR="114300"/>
          <wp:docPr id="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8955" cy="762000"/>
                  </a:xfrm>
                  <a:prstGeom prst="rect"/>
                  <a:ln/>
                </pic:spPr>
              </pic:pic>
            </a:graphicData>
          </a:graphic>
        </wp:anchor>
      </w:drawing>
    </w:r>
  </w:p>
  <w:p w:rsidR="00000000" w:rsidDel="00000000" w:rsidP="00000000" w:rsidRDefault="00000000" w:rsidRPr="00000000" w14:paraId="00000011">
    <w:pPr>
      <w:pStyle w:val="Heading4"/>
      <w:jc w:val="right"/>
      <w:rPr/>
    </w:pPr>
    <w:bookmarkStart w:colFirst="0" w:colLast="0" w:name="_heading=h.cp471nieo90b" w:id="2"/>
    <w:bookmarkEnd w:id="2"/>
    <w:r w:rsidDel="00000000" w:rsidR="00000000" w:rsidRPr="00000000">
      <w:rPr>
        <w:rtl w:val="0"/>
      </w:rPr>
      <w:t xml:space="preserve">Trophées TO’A Reef de l’Ifrecor Polynésie</w:t>
    </w:r>
  </w:p>
  <w:p w:rsidR="00000000" w:rsidDel="00000000" w:rsidP="00000000" w:rsidRDefault="00000000" w:rsidRPr="00000000" w14:paraId="00000012">
    <w:pPr>
      <w:spacing w:after="200" w:before="0" w:lineRule="auto"/>
      <w:ind w:right="-182" w:firstLine="0"/>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Oxygen" w:cs="Oxygen" w:eastAsia="Oxygen" w:hAnsi="Oxyge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xygen" w:cs="Oxygen" w:eastAsia="Oxygen" w:hAnsi="Oxygen"/>
        <w:sz w:val="22"/>
        <w:szCs w:val="22"/>
        <w:lang w:val="fr"/>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pPr>
    <w:rPr>
      <w:rFonts w:ascii="Calibri" w:cs="Calibri" w:eastAsia="Calibri" w:hAnsi="Calibri"/>
      <w:b w:val="1"/>
      <w:bCs w:val="1"/>
      <w:i w:val="0"/>
      <w:iCs w:val="0"/>
      <w:smallCaps w:val="0"/>
      <w:strike w:val="0"/>
      <w:color w:val="0b5394"/>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pPr>
    <w:rPr>
      <w:rFonts w:ascii="Oxygen" w:cs="Oxygen" w:eastAsia="Oxygen" w:hAnsi="Oxygen"/>
      <w:b w:val="0"/>
      <w:bCs w:val="0"/>
      <w:i w:val="0"/>
      <w:iCs w:val="0"/>
      <w:smallCaps w:val="0"/>
      <w:strike w:val="0"/>
      <w:color w:val="4c772d"/>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6.80046153846155" w:lineRule="auto"/>
      <w:ind w:left="0" w:right="0" w:firstLine="0"/>
      <w:jc w:val="both"/>
    </w:pPr>
    <w:rPr>
      <w:rFonts w:ascii="Calibri" w:cs="Calibri" w:eastAsia="Calibri" w:hAnsi="Calibri"/>
      <w:b w:val="0"/>
      <w:bCs w:val="0"/>
      <w:i w:val="0"/>
      <w:iCs w:val="0"/>
      <w:smallCaps w:val="0"/>
      <w:strike w:val="0"/>
      <w:color w:val="1a6187"/>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Oxygen" w:cs="Oxygen" w:eastAsia="Oxygen" w:hAnsi="Oxygen"/>
      <w:b w:val="0"/>
      <w:bCs w:val="0"/>
      <w:i w:val="0"/>
      <w:iCs w:val="0"/>
      <w:smallCaps w:val="0"/>
      <w:strike w:val="0"/>
      <w:color w:val="00aeef"/>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360" w:lineRule="auto"/>
      <w:ind w:left="720" w:right="0" w:hanging="360"/>
      <w:jc w:val="both"/>
    </w:pPr>
    <w:rPr>
      <w:rFonts w:ascii="Oxygen" w:cs="Oxygen" w:eastAsia="Oxygen" w:hAnsi="Oxygen"/>
      <w:b w:val="1"/>
      <w:bCs w:val="1"/>
      <w:i w:val="0"/>
      <w:iCs w:val="0"/>
      <w:smallCaps w:val="0"/>
      <w:strike w:val="0"/>
      <w:color w:val="666666"/>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both"/>
    </w:pPr>
    <w:rPr>
      <w:rFonts w:ascii="Oxygen" w:cs="Oxygen" w:eastAsia="Oxygen" w:hAnsi="Oxygen"/>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center"/>
    </w:pPr>
    <w:rPr>
      <w:rFonts w:ascii="Oxygen" w:cs="Oxygen" w:eastAsia="Oxygen" w:hAnsi="Oxygen"/>
      <w:b w:val="0"/>
      <w:bCs w:val="0"/>
      <w:i w:val="0"/>
      <w:iCs w:val="0"/>
      <w:smallCaps w:val="0"/>
      <w:strike w:val="0"/>
      <w:color w:val="674ea7"/>
      <w:sz w:val="40"/>
      <w:szCs w:val="40"/>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qFormat w:val="1"/>
    <w:rPr/>
  </w:style>
  <w:style w:type="character" w:styleId="annotationreference">
    <w:name w:val="annotation reference"/>
    <w:uiPriority w:val="99"/>
    <w:semiHidden w:val="1"/>
    <w:unhideWhenUsed w:val="1"/>
    <w:qFormat w:val="1"/>
    <w:rPr>
      <w:sz w:val="16"/>
      <w:szCs w:val="16"/>
    </w:rPr>
  </w:style>
  <w:style w:type="character" w:styleId="CommentaireCar" w:customStyle="1">
    <w:name w:val="Commentaire Car"/>
    <w:basedOn w:val="DefaultParagraphFont"/>
    <w:uiPriority w:val="99"/>
    <w:semiHidden w:val="1"/>
    <w:qFormat w:val="1"/>
    <w:rsid w:val="00DD6D27"/>
    <w:rPr>
      <w:sz w:val="20"/>
      <w:szCs w:val="20"/>
    </w:rPr>
  </w:style>
  <w:style w:type="character" w:styleId="ObjetducommentaireCar" w:customStyle="1">
    <w:name w:val="Objet du commentaire Car"/>
    <w:basedOn w:val="CommentaireCar"/>
    <w:uiPriority w:val="99"/>
    <w:semiHidden w:val="1"/>
    <w:qFormat w:val="1"/>
    <w:rsid w:val="00DD6D27"/>
    <w:rPr>
      <w:b w:val="1"/>
      <w:bCs w:val="1"/>
      <w:sz w:val="20"/>
      <w:szCs w:val="20"/>
    </w:rPr>
  </w:style>
  <w:style w:type="character" w:styleId="TextedebullesCar" w:customStyle="1">
    <w:name w:val="Texte de bulles Car"/>
    <w:basedOn w:val="DefaultParagraphFont"/>
    <w:link w:val="BalloonText"/>
    <w:uiPriority w:val="99"/>
    <w:semiHidden w:val="1"/>
    <w:qFormat w:val="1"/>
    <w:rsid w:val="00DD6D27"/>
    <w:rPr>
      <w:rFonts w:ascii="Segoe UI" w:cs="Segoe UI" w:hAnsi="Segoe UI"/>
      <w:sz w:val="18"/>
      <w:szCs w:val="18"/>
    </w:rPr>
  </w:style>
  <w:style w:type="character" w:styleId="ObjetducommentaireCar1" w:customStyle="1">
    <w:name w:val="Objet du commentaire Car1"/>
    <w:basedOn w:val="CommentaireCar1"/>
    <w:link w:val="annotationsubject"/>
    <w:uiPriority w:val="99"/>
    <w:semiHidden w:val="1"/>
    <w:qFormat w:val="1"/>
    <w:rPr>
      <w:b w:val="1"/>
      <w:bCs w:val="1"/>
      <w:sz w:val="20"/>
      <w:szCs w:val="20"/>
    </w:rPr>
  </w:style>
  <w:style w:type="character" w:styleId="CommentaireCar1" w:customStyle="1">
    <w:name w:val="Commentaire Car1"/>
    <w:uiPriority w:val="99"/>
    <w:semiHidden w:val="1"/>
    <w:qFormat w:val="1"/>
    <w:rPr>
      <w:sz w:val="20"/>
      <w:szCs w:val="20"/>
    </w:rPr>
  </w:style>
  <w:style w:type="character" w:styleId="InternetLink">
    <w:name w:val="Internet Link"/>
    <w:qFormat w:val="1"/>
    <w:rPr>
      <w:color w:val="000080"/>
      <w:u w:val="single"/>
    </w:rPr>
  </w:style>
  <w:style w:type="character" w:styleId="Sautdindex">
    <w:name w:val="Saut d'index"/>
    <w:qFormat w:val="1"/>
    <w:rPr/>
  </w:style>
  <w:style w:type="character" w:styleId="LineNumbering">
    <w:name w:val="Line Numbering"/>
    <w:qFormat w:val="1"/>
    <w:rPr/>
  </w:style>
  <w:style w:type="character" w:styleId="Hyperlink">
    <w:name w:val="Hyperlink"/>
    <w:rPr>
      <w:color w:val="000080"/>
      <w:u w:val="single"/>
    </w:rPr>
  </w:style>
  <w:style w:type="character" w:styleId="LineNumber">
    <w:name w:val="Line Number"/>
    <w:rPr/>
  </w:style>
  <w:style w:type="paragraph" w:styleId="Titre">
    <w:name w:val="Titre"/>
    <w:basedOn w:val="normal1"/>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1"/>
    <w:pPr>
      <w:spacing w:after="140" w:before="0" w:line="276" w:lineRule="auto"/>
    </w:pPr>
    <w:rPr/>
  </w:style>
  <w:style w:type="paragraph" w:styleId="List">
    <w:name w:val="List"/>
    <w:basedOn w:val="BodyText"/>
    <w:pPr/>
    <w:rPr>
      <w:rFonts w:cs="Arial"/>
    </w:rPr>
  </w:style>
  <w:style w:type="paragraph" w:styleId="Caption">
    <w:name w:val="Caption"/>
    <w:basedOn w:val="normal1"/>
    <w:qFormat w:val="1"/>
    <w:pPr>
      <w:suppressLineNumbers w:val="1"/>
      <w:spacing w:after="120" w:before="120"/>
    </w:pPr>
    <w:rPr>
      <w:rFonts w:cs="Arial"/>
      <w:i w:val="1"/>
      <w:iCs w:val="1"/>
      <w:sz w:val="24"/>
      <w:szCs w:val="24"/>
    </w:rPr>
  </w:style>
  <w:style w:type="paragraph" w:styleId="Index">
    <w:name w:val="Index"/>
    <w:basedOn w:val="normal1"/>
    <w:qFormat w:val="1"/>
    <w:pPr>
      <w:suppressLineNumbers w:val="1"/>
    </w:pPr>
    <w:rPr>
      <w:rFonts w:cs="Arial"/>
    </w:rPr>
  </w:style>
  <w:style w:type="paragraph" w:styleId="normal1" w:default="1">
    <w:name w:val="normal1"/>
    <w:qFormat w:val="1"/>
    <w:pPr>
      <w:widowControl w:val="1"/>
      <w:bidi w:val="0"/>
      <w:spacing w:after="200" w:before="0" w:line="276" w:lineRule="auto"/>
      <w:jc w:val="both"/>
    </w:pPr>
    <w:rPr>
      <w:rFonts w:ascii="Oxygen" w:cs="Oxygen" w:eastAsia="Oxygen" w:hAnsi="Oxygen"/>
      <w:color w:val="auto"/>
      <w:kern w:val="0"/>
      <w:sz w:val="22"/>
      <w:szCs w:val="22"/>
      <w:lang w:bidi="hi-IN" w:eastAsia="zh-CN" w:val="fr-FR"/>
    </w:rPr>
  </w:style>
  <w:style w:type="paragraph" w:styleId="LO-normal" w:default="1">
    <w:name w:val="LO-normal"/>
    <w:qFormat w:val="1"/>
    <w:pPr>
      <w:widowControl w:val="1"/>
      <w:bidi w:val="0"/>
      <w:spacing w:after="200" w:before="0" w:line="276" w:lineRule="auto"/>
      <w:jc w:val="both"/>
    </w:pPr>
    <w:rPr>
      <w:rFonts w:ascii="Oxygen" w:cs="Oxygen" w:eastAsia="Oxygen" w:hAnsi="Oxygen"/>
      <w:color w:val="auto"/>
      <w:kern w:val="0"/>
      <w:sz w:val="22"/>
      <w:szCs w:val="22"/>
      <w:lang w:bidi="hi-IN" w:eastAsia="zh-CN" w:val="fr-FR"/>
    </w:rPr>
  </w:style>
  <w:style w:type="paragraph" w:styleId="AnnotationText">
    <w:name w:val="Annotation Text"/>
    <w:basedOn w:val="LO-normal"/>
    <w:link w:val="CommentaireCar1"/>
    <w:uiPriority w:val="99"/>
    <w:semiHidden w:val="1"/>
    <w:unhideWhenUsed w:val="1"/>
    <w:qFormat w:val="1"/>
    <w:pPr>
      <w:spacing w:line="240" w:lineRule="auto"/>
    </w:pPr>
    <w:rPr>
      <w:sz w:val="20"/>
      <w:szCs w:val="20"/>
    </w:rPr>
  </w:style>
  <w:style w:type="paragraph" w:styleId="annotationsubject">
    <w:name w:val="annotation subject"/>
    <w:basedOn w:val="AnnotationText"/>
    <w:next w:val="AnnotationText"/>
    <w:link w:val="ObjetducommentaireCar1"/>
    <w:uiPriority w:val="99"/>
    <w:semiHidden w:val="1"/>
    <w:unhideWhenUsed w:val="1"/>
    <w:qFormat w:val="1"/>
    <w:pPr/>
    <w:rPr>
      <w:b w:val="1"/>
      <w:bCs w:val="1"/>
    </w:rPr>
  </w:style>
  <w:style w:type="paragraph" w:styleId="BalloonText">
    <w:name w:val="Balloon Text"/>
    <w:basedOn w:val="LO-normal"/>
    <w:link w:val="TextedebullesCar"/>
    <w:uiPriority w:val="99"/>
    <w:semiHidden w:val="1"/>
    <w:unhideWhenUsed w:val="1"/>
    <w:qFormat w:val="1"/>
    <w:rsid w:val="00DD6D27"/>
    <w:pPr>
      <w:spacing w:line="240" w:lineRule="auto"/>
    </w:pPr>
    <w:rPr>
      <w:rFonts w:ascii="Segoe UI" w:cs="Segoe UI" w:hAnsi="Segoe UI"/>
      <w:sz w:val="18"/>
      <w:szCs w:val="18"/>
    </w:rPr>
  </w:style>
  <w:style w:type="paragraph" w:styleId="En-tteetpieddepage">
    <w:name w:val="En-tête et pied de page"/>
    <w:basedOn w:val="normal1"/>
    <w:qFormat w:val="1"/>
    <w:pPr/>
    <w:rPr/>
  </w:style>
  <w:style w:type="paragraph" w:styleId="HeaderandFooter">
    <w:name w:val="Header and Footer"/>
    <w:basedOn w:val="Normal"/>
    <w:qFormat w:val="1"/>
    <w:pPr/>
    <w:rPr/>
  </w:style>
  <w:style w:type="paragraph" w:styleId="Header">
    <w:name w:val="Header"/>
    <w:basedOn w:val="En-tteetpieddepage"/>
    <w:pPr/>
    <w:rPr/>
  </w:style>
  <w:style w:type="paragraph" w:styleId="Footer">
    <w:name w:val="Footer"/>
    <w:basedOn w:val="En-tteetpieddepage"/>
    <w:pPr/>
    <w:rPr/>
  </w:style>
  <w:style w:type="paragraph" w:styleId="Contenudecadre">
    <w:name w:val="Contenu de cadre"/>
    <w:basedOn w:val="Normal"/>
    <w:qFormat w:val="1"/>
    <w:pPr/>
    <w:rPr/>
  </w:style>
  <w:style w:type="numbering" w:styleId="Pasdeliste" w:default="1">
    <w:name w:val="Pas de liste"/>
    <w:uiPriority w:val="99"/>
    <w:semiHidden w:val="1"/>
    <w:unhideWhenUsed w:val="1"/>
    <w:qFormat w:val="1"/>
  </w:style>
  <w:style w:type="table" w:styleId="TableNormal" w:default="1">
    <w:name w:val="TableNormal"/>
  </w:style>
  <w:style w:type="table" w:styleId="TableNormal" w:default="1">
    <w:name w:val="Table Normal"/>
  </w:style>
  <w:style w:type="table" w:styleId="TableNormal" w:default="1">
    <w:name w:val="Table Normal"/>
  </w:style>
  <w:style w:type="table" w:styleId="TableNormal" w:default="1">
    <w:name w:val="Table Normal"/>
  </w:style>
  <w:style w:type="table" w:styleId="Tableau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306" w:firstLine="0"/>
      <w:jc w:val="both"/>
    </w:pPr>
    <w:rPr>
      <w:rFonts w:ascii="Oxygen" w:cs="Oxygen" w:eastAsia="Oxygen" w:hAnsi="Oxygen"/>
      <w:b w:val="0"/>
      <w:bCs w:val="0"/>
      <w:i w:val="1"/>
      <w:iCs w:val="1"/>
      <w:smallCaps w:val="0"/>
      <w:strike w:val="0"/>
      <w:color w:val="666666"/>
      <w:sz w:val="24"/>
      <w:szCs w:val="24"/>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residence.pf/remmoa-ii-et-toa-reef-la-polynesie-francaise-celebre-le-mana-de-locean-et-lengagement-de-sa-jeunesse/" TargetMode="Externa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FKtBB4tfBlg?feature=shared" TargetMode="External"/><Relationship Id="rId8" Type="http://schemas.openxmlformats.org/officeDocument/2006/relationships/hyperlink" Target="https://www.polynesie-francaise.pref.gouv.fr/Actualites/Communiques-de-presse/2026/Ceremonie-de-remise-des-Trophees-TO-A-Reef-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RobotoCondensed-regular.ttf"/><Relationship Id="rId4" Type="http://schemas.openxmlformats.org/officeDocument/2006/relationships/font" Target="fonts/RobotoCondensed-bold.ttf"/><Relationship Id="rId5" Type="http://schemas.openxmlformats.org/officeDocument/2006/relationships/font" Target="fonts/RobotoCondensed-italic.ttf"/><Relationship Id="rId6"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frecor.pf@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frecor.p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E84MkLBGe/sGgW23qFUe6A+tng==">CgMxLjAyDmguNThqM2RtZ2ZmY3k3Mg5oLmR2Z2pxa2E3ZnpyaTIOaC5jcDQ3MW5pZW85MGI4AHIhMUdNb01ZX3FObTZfUDg0LUpXNEZWb3hzLVIwcVJ6WV93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2025-06-23T13:00:43Z</dcterms:created>
</cp:coreProperties>
</file>