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sz w:val="40"/>
          <w:szCs w:val="40"/>
        </w:rPr>
      </w:pPr>
      <w:bookmarkStart w:colFirst="0" w:colLast="0" w:name="_heading=h.7bpfn639azu1" w:id="0"/>
      <w:bookmarkEnd w:id="0"/>
      <w:r w:rsidDel="00000000" w:rsidR="00000000" w:rsidRPr="00000000">
        <w:rPr>
          <w:sz w:val="40"/>
          <w:szCs w:val="40"/>
          <w:rtl w:val="0"/>
        </w:rPr>
        <w:t xml:space="preserve">Te Mana o Te Moana Nui a Hiva : Agir ensemble pour notre Océan</w:t>
      </w:r>
    </w:p>
    <w:p w:rsidR="00000000" w:rsidDel="00000000" w:rsidP="00000000" w:rsidRDefault="00000000" w:rsidRPr="00000000" w14:paraId="00000002">
      <w:pPr>
        <w:rPr>
          <w:b w:val="1"/>
          <w:bCs w:val="1"/>
        </w:rPr>
      </w:pPr>
      <w:r w:rsidDel="00000000" w:rsidR="00000000" w:rsidRPr="00000000">
        <w:rPr>
          <w:b w:val="1"/>
          <w:bCs w:val="1"/>
          <w:rtl w:val="0"/>
        </w:rPr>
        <w:t xml:space="preserve">Ce mercredi 28 janvier, à l’Intercontinental Tahiti, l’Ifrecor Polynésie, l’État et le Pays organisent la seconde édition de « Te Mana o Te Moana Nui a Hiva – Unir nos actions pour préserver le Mana de notre Océan », afin de célébrer la réussite de la mobilisation polynésienne lors de l’UNOC3 et d’inscrire cette dynamique collective dans la mise en œuvre du traité BBNJ sur la haute mer. Une journée d’échanges, de transmission et de partage qui réunira une vingtaine d’acteurs du Fenua au sein du Village de TO’A, à l’InterContinental Tahiti Resort &amp; Spa, pour présenter au public et aux scolaires les réalisations concrètes. Elle sera ponctuée par la cérémonie de remise des Trophées TO’A Reef de l’Ifrecor Polynésie, qui mettra à l’honneur celles et ceux qui agissent au quotidien pour la protection des récifs coralliens et de l’Océan.</w:t>
      </w:r>
    </w:p>
    <w:p w:rsidR="00000000" w:rsidDel="00000000" w:rsidP="00000000" w:rsidRDefault="00000000" w:rsidRPr="00000000" w14:paraId="00000003">
      <w:pPr>
        <w:rPr/>
      </w:pPr>
      <w:r w:rsidDel="00000000" w:rsidR="00000000" w:rsidRPr="00000000">
        <w:rPr>
          <w:rtl w:val="0"/>
        </w:rPr>
        <w:t xml:space="preserve">2026 s’ouvre sous le signe de l’action collective pour l’Océan. Le mercredi 28 janvier prochain, l’Ifrecor Polynésie, l’État et le Pays organisent la seconde édition de « Te Mana o Te Moana Nui a Hiva – Unir nos actions pour préserver le Mana de notre Océan ». Placée sous le haut patronage conjoint du Haut-commissaire de la République et du Président de la Polynésie française, cette journée rassemblera toute la communauté polynésienne de l’océan : institutions, associations, administrations, scientifiques, entreprises de l’économie bleue, scolaires et enseignants.</w:t>
      </w:r>
    </w:p>
    <w:p w:rsidR="00000000" w:rsidDel="00000000" w:rsidP="00000000" w:rsidRDefault="00000000" w:rsidRPr="00000000" w14:paraId="00000004">
      <w:pPr>
        <w:rPr/>
      </w:pPr>
      <w:r w:rsidDel="00000000" w:rsidR="00000000" w:rsidRPr="00000000">
        <w:rPr>
          <w:rtl w:val="0"/>
        </w:rPr>
        <w:t xml:space="preserve">La première édition de l’événement  « Te Mana o Te Moana Nui a Hiva – Unir nos actions pour préserver le Mana de notre Océan », avait lancé, fin 2024 au Fenua, la dynamique collective pour faire retentir la voix de la Polynésie française et de son modèle de gestion durable de l’Océan à la 3</w:t>
      </w:r>
      <w:r w:rsidDel="00000000" w:rsidR="00000000" w:rsidRPr="00000000">
        <w:rPr>
          <w:vertAlign w:val="superscript"/>
          <w:rtl w:val="0"/>
        </w:rPr>
        <w:t xml:space="preserve">e</w:t>
      </w:r>
      <w:r w:rsidDel="00000000" w:rsidR="00000000" w:rsidRPr="00000000">
        <w:rPr>
          <w:rtl w:val="0"/>
        </w:rPr>
        <w:t xml:space="preserve"> Conférence des Nations unies sur l’Océan (UNOC3), en juin 2025 à Nice. Dans ses vœux 2026 aux Polynésiens, le haut-commissaire de la République en Polynésie française, Alexandre ROCHATTE, a tenu à souligner ce “moment de rayonnement historique pour la Polynésie française” : “2025 a permis à la Polynésie française de s’affirmer comme un acteur crédible et indispensable dans la défense du patrimoine océanique mondial. 2026 sera l’année de la mise en œuvre concrète de certains des engagements pris.”</w:t>
      </w:r>
    </w:p>
    <w:p w:rsidR="00000000" w:rsidDel="00000000" w:rsidP="00000000" w:rsidRDefault="00000000" w:rsidRPr="00000000" w14:paraId="00000005">
      <w:pPr>
        <w:rPr/>
      </w:pPr>
      <w:r w:rsidDel="00000000" w:rsidR="00000000" w:rsidRPr="00000000">
        <w:rPr>
          <w:rtl w:val="0"/>
        </w:rPr>
        <w:t xml:space="preserve">Le Président du Pays, Moetai BROTHERSON, a mis en œuvre son engagement fort annoncé à l’UNOC3, en classant en AMP l’ensemble de la zone économique exclusive (ZEE) de Polynésie, soit 4,8 millions de km² d’océan, la moitié de la surface maritime de la France. La Polynésie française a ainsi créé la plus grande aire marine protégée au monde : Tainui Atea.</w:t>
      </w:r>
    </w:p>
    <w:p w:rsidR="00000000" w:rsidDel="00000000" w:rsidP="00000000" w:rsidRDefault="00000000" w:rsidRPr="00000000" w14:paraId="00000006">
      <w:pPr>
        <w:rPr/>
      </w:pPr>
      <w:r w:rsidDel="00000000" w:rsidR="00000000" w:rsidRPr="00000000">
        <w:rPr>
          <w:rtl w:val="0"/>
        </w:rPr>
        <w:t xml:space="preserve">Avec l’entrée en vigueur du traité international sur la haute mer, l’accord BBNJ (Biodiversity Beyond National Jurisdiction) de l’ONU, pour la conservation et l’utilisation durable de la diversité biologique marine des zones ne relevant pas de la juridiction nationale, cette seconde édition de « Te Mana o Te Moana Nui a Hiva » lance une nouvelle année stratégique pour la préservation de l’Océan, plus particulièrement centrée sur les enjeux internationaux et la haute mer. </w:t>
      </w:r>
    </w:p>
    <w:p w:rsidR="00000000" w:rsidDel="00000000" w:rsidP="00000000" w:rsidRDefault="00000000" w:rsidRPr="00000000" w14:paraId="00000007">
      <w:pPr>
        <w:rPr/>
      </w:pPr>
      <w:r w:rsidDel="00000000" w:rsidR="00000000" w:rsidRPr="00000000">
        <w:rPr>
          <w:rtl w:val="0"/>
        </w:rPr>
        <w:t xml:space="preserve">Plus que jamais, l’État et le Pays sont mobilisés pour faire entendre la voix de la Polynésie française au niveau mondial.</w:t>
      </w:r>
    </w:p>
    <w:p w:rsidR="00000000" w:rsidDel="00000000" w:rsidP="00000000" w:rsidRDefault="00000000" w:rsidRPr="00000000" w14:paraId="00000008">
      <w:pPr>
        <w:pStyle w:val="Heading3"/>
        <w:rPr/>
      </w:pPr>
      <w:bookmarkStart w:colFirst="0" w:colLast="0" w:name="_heading=h.k91993sf4m14" w:id="1"/>
      <w:bookmarkEnd w:id="1"/>
      <w:r w:rsidDel="00000000" w:rsidR="00000000" w:rsidRPr="00000000">
        <w:rPr>
          <w:rtl w:val="0"/>
        </w:rPr>
        <w:t xml:space="preserve">Une journée d’échanges et de transmission ouverte aux scolaires et au public au Village de TO’A </w:t>
      </w:r>
    </w:p>
    <w:p w:rsidR="00000000" w:rsidDel="00000000" w:rsidP="00000000" w:rsidRDefault="00000000" w:rsidRPr="00000000" w14:paraId="00000009">
      <w:pPr>
        <w:rPr/>
      </w:pPr>
      <w:r w:rsidDel="00000000" w:rsidR="00000000" w:rsidRPr="00000000">
        <w:rPr>
          <w:rtl w:val="0"/>
        </w:rPr>
        <w:t xml:space="preserve">Cette journée d’échanges, de transmission et de partage réunira les acteurs du Fenua au sein du “Village de TO’A”, pour présenter au public et aux scolaires les réalisations concrètes en faveur des récifs et lagons, et rassembler les connaissances, les savoirs et les générations autour du Mana de notre Océan.</w:t>
      </w:r>
    </w:p>
    <w:p w:rsidR="00000000" w:rsidDel="00000000" w:rsidP="00000000" w:rsidRDefault="00000000" w:rsidRPr="00000000" w14:paraId="0000000A">
      <w:pPr>
        <w:rPr/>
      </w:pPr>
      <w:r w:rsidDel="00000000" w:rsidR="00000000" w:rsidRPr="00000000">
        <w:rPr>
          <w:rtl w:val="0"/>
        </w:rPr>
        <w:t xml:space="preserve">Toute la journée, de 8h à 16h, une vingtaine d’exposants viendront partager leurs actions sur le terrain au Village de TO’A, à l’Intercontinental Tahiti Resort &amp; Spa, dans les jardins de l’association Te mana o te moana, partenaire de l’organisation de cet espace de rencontre et d’exposition.</w:t>
      </w:r>
    </w:p>
    <w:p w:rsidR="00000000" w:rsidDel="00000000" w:rsidP="00000000" w:rsidRDefault="00000000" w:rsidRPr="00000000" w14:paraId="0000000B">
      <w:pPr>
        <w:rPr/>
      </w:pPr>
      <w:r w:rsidDel="00000000" w:rsidR="00000000" w:rsidRPr="00000000">
        <w:rPr>
          <w:rtl w:val="0"/>
        </w:rPr>
        <w:t xml:space="preserve">Le Village de TO’A est ouvert gratuitement à l’ensemble de la population et aux scolaires. Il regroupe une vingtaine d’exposants, associations et acteurs de terrain qui agissent au quotidien dans nos îles pour protéger nos récifs et lagons : Coral Gardeners, Oceania, Tama No Te Tairoto, Te Aho To'a, l'AREMP, Aroha 'Āi'a, Tamari'i Pointe des Pêcheurs, Tamari'i no te Moana, Te mana o te moana,  Te Ora Naho - FAPE, Te Fare Natura - L'écomusée, Laboratoire Criobe, Eco Center Bora Bora, Te Mā Tairoto - Odewa, Polynacre, le Comité organisateur des Jeux du Pacifique - Tahiti 2027, la Direction de l'Environnement (DIREN), la Direction des ressources marines (DRM) et la Direction générale de l'éducation et des enseignements (DGEE) de Polynésie française. </w:t>
      </w:r>
    </w:p>
    <w:p w:rsidR="00000000" w:rsidDel="00000000" w:rsidP="00000000" w:rsidRDefault="00000000" w:rsidRPr="00000000" w14:paraId="0000000C">
      <w:pPr>
        <w:rPr/>
      </w:pPr>
      <w:r w:rsidDel="00000000" w:rsidR="00000000" w:rsidRPr="00000000">
        <w:rPr>
          <w:rtl w:val="0"/>
        </w:rPr>
        <w:t xml:space="preserve">L’occasion de mieux comprendre le lien profond, culturel et existentiel, entre le Fenua et l’Océan, des vallées terrestres aux grands fonds océaniques, et l’importance de la bonne santé des récifs coralliens, véritables interfaces écologiques entre la terre, les lagons et la haute mer. </w:t>
      </w:r>
    </w:p>
    <w:p w:rsidR="00000000" w:rsidDel="00000000" w:rsidP="00000000" w:rsidRDefault="00000000" w:rsidRPr="00000000" w14:paraId="0000000D">
      <w:pPr>
        <w:rPr/>
      </w:pPr>
      <w:r w:rsidDel="00000000" w:rsidR="00000000" w:rsidRPr="00000000">
        <w:rPr>
          <w:rtl w:val="0"/>
        </w:rPr>
        <w:t xml:space="preserve">Une journée pour découvrir aussi les initiatives concrètes visant à renforcer la recherche océanographique, mieux structurer les filières bleues, valoriser les aires marines protégées et lutter contre le changement climatique.</w:t>
      </w:r>
    </w:p>
    <w:p w:rsidR="00000000" w:rsidDel="00000000" w:rsidP="00000000" w:rsidRDefault="00000000" w:rsidRPr="00000000" w14:paraId="0000000E">
      <w:pPr>
        <w:pStyle w:val="Heading3"/>
        <w:rPr/>
      </w:pPr>
      <w:bookmarkStart w:colFirst="0" w:colLast="0" w:name="_heading=h.iysmg5hgi94m" w:id="2"/>
      <w:bookmarkEnd w:id="2"/>
      <w:r w:rsidDel="00000000" w:rsidR="00000000" w:rsidRPr="00000000">
        <w:rPr>
          <w:rtl w:val="0"/>
        </w:rPr>
        <w:t xml:space="preserve">Mieux connaître les espèces marines emblématiques de Polynésie </w:t>
      </w:r>
    </w:p>
    <w:p w:rsidR="00000000" w:rsidDel="00000000" w:rsidP="00000000" w:rsidRDefault="00000000" w:rsidRPr="00000000" w14:paraId="0000000F">
      <w:pPr>
        <w:rPr/>
      </w:pPr>
      <w:r w:rsidDel="00000000" w:rsidR="00000000" w:rsidRPr="00000000">
        <w:rPr>
          <w:rtl w:val="0"/>
        </w:rPr>
        <w:t xml:space="preserve">La connaissance scientifique sera également au centre de cette journée d’action collective Te Mana o Te Moana Nui a Hiva, avec le lancement de la campagne REMMOA 2 (Recensement des Mammifères marins et autres Mégafaunes pélagiques par Observation Aérienne) menée par l’Observatoire Pelagis (La Rochelle Université – CNRS), avec le soutien de l’Office français pour la Biodiversité (OFB) en partenariat avec le gouvernement de la Polynésie française et le Haut-Commissariat de la République. </w:t>
      </w:r>
    </w:p>
    <w:p w:rsidR="00000000" w:rsidDel="00000000" w:rsidP="00000000" w:rsidRDefault="00000000" w:rsidRPr="00000000" w14:paraId="00000010">
      <w:pPr>
        <w:rPr/>
      </w:pPr>
      <w:r w:rsidDel="00000000" w:rsidR="00000000" w:rsidRPr="00000000">
        <w:rPr>
          <w:rtl w:val="0"/>
        </w:rPr>
        <w:t xml:space="preserve">La récente reconnaissance internationale de l’aire marine gérée Tainui Atea, en aire marine protégée, tout comme la création de nouvelles zones de protection forte et stricte, nécessitent de poursuivre les efforts d’amélioration des connaissances des espèces marines emblématiques pour mieux en assurer leur conservation. </w:t>
      </w:r>
    </w:p>
    <w:p w:rsidR="00000000" w:rsidDel="00000000" w:rsidP="00000000" w:rsidRDefault="00000000" w:rsidRPr="00000000" w14:paraId="00000011">
      <w:pPr>
        <w:rPr/>
      </w:pPr>
      <w:r w:rsidDel="00000000" w:rsidR="00000000" w:rsidRPr="00000000">
        <w:rPr>
          <w:rtl w:val="0"/>
        </w:rPr>
        <w:t xml:space="preserve">C’est dans ce contexte que s’inscrit la campagne REMMOA 2, qui a pour objectif, 15 ans après la première campagne de 2011, d'effectuer un nouvel inventaire pour mieux connaître la distribution et l’abondance des cétacés, oiseaux marins, requins, raies, tortues et autres grandes espèces marines fréquentant les eaux de Polynésie française.</w:t>
      </w:r>
    </w:p>
    <w:p w:rsidR="00000000" w:rsidDel="00000000" w:rsidP="00000000" w:rsidRDefault="00000000" w:rsidRPr="00000000" w14:paraId="00000012">
      <w:pPr>
        <w:pStyle w:val="Heading3"/>
        <w:spacing w:after="0" w:before="240" w:lineRule="auto"/>
        <w:rPr/>
      </w:pPr>
      <w:bookmarkStart w:colFirst="0" w:colLast="0" w:name="_heading=h.b07t72gjkr2y" w:id="3"/>
      <w:bookmarkEnd w:id="3"/>
      <w:r w:rsidDel="00000000" w:rsidR="00000000" w:rsidRPr="00000000">
        <w:rPr>
          <w:rtl w:val="0"/>
        </w:rPr>
        <w:t xml:space="preserve">Cérémonie de remise des Trophées TO’A Reef 2025 de l’Ifrecor Polynésie </w:t>
      </w:r>
    </w:p>
    <w:p w:rsidR="00000000" w:rsidDel="00000000" w:rsidP="00000000" w:rsidRDefault="00000000" w:rsidRPr="00000000" w14:paraId="00000013">
      <w:pPr>
        <w:spacing w:after="240" w:before="0" w:lineRule="auto"/>
        <w:rPr/>
      </w:pPr>
      <w:r w:rsidDel="00000000" w:rsidR="00000000" w:rsidRPr="00000000">
        <w:rPr>
          <w:rtl w:val="0"/>
        </w:rPr>
        <w:t xml:space="preserve">La cérémonie de remise des Trophées TO’A Reef viendra clore cette journée de célébration du Mana de notre Océan, en réunissant plus de 250 acteurs locaux de tous horizons professionnels, au Grand Motu de l’Intercontinental Tahiti Resort &amp; Spa. </w:t>
      </w:r>
    </w:p>
    <w:p w:rsidR="00000000" w:rsidDel="00000000" w:rsidP="00000000" w:rsidRDefault="00000000" w:rsidRPr="00000000" w14:paraId="00000014">
      <w:pPr>
        <w:spacing w:after="240" w:before="240" w:lineRule="auto"/>
        <w:rPr/>
      </w:pPr>
      <w:r w:rsidDel="00000000" w:rsidR="00000000" w:rsidRPr="00000000">
        <w:rPr>
          <w:rtl w:val="0"/>
        </w:rPr>
        <w:t xml:space="preserve">Cette cérémonie, sur invitation, mettra à l’honneur les </w:t>
      </w:r>
      <w:hyperlink r:id="rId7">
        <w:r w:rsidDel="00000000" w:rsidR="00000000" w:rsidRPr="00000000">
          <w:rPr>
            <w:color w:val="1155cc"/>
            <w:u w:val="single"/>
            <w:rtl w:val="0"/>
          </w:rPr>
          <w:t xml:space="preserve">13 lauréats des Trophées TO’A Reef 2025,</w:t>
        </w:r>
      </w:hyperlink>
      <w:r w:rsidDel="00000000" w:rsidR="00000000" w:rsidRPr="00000000">
        <w:rPr>
          <w:rtl w:val="0"/>
        </w:rPr>
        <w:t xml:space="preserve"> associations, acteurs privés et établissements scolaires, engagés pour la préservation des récifs et des lagons de Polynésie française :</w:t>
      </w:r>
    </w:p>
    <w:p w:rsidR="00000000" w:rsidDel="00000000" w:rsidP="00000000" w:rsidRDefault="00000000" w:rsidRPr="00000000" w14:paraId="00000015">
      <w:pPr>
        <w:numPr>
          <w:ilvl w:val="0"/>
          <w:numId w:val="1"/>
        </w:numPr>
        <w:spacing w:after="0" w:afterAutospacing="0"/>
        <w:ind w:left="720" w:hanging="360"/>
        <w:rPr>
          <w:u w:val="none"/>
        </w:rPr>
      </w:pPr>
      <w:r w:rsidDel="00000000" w:rsidR="00000000" w:rsidRPr="00000000">
        <w:rPr>
          <w:b w:val="1"/>
          <w:bCs w:val="1"/>
          <w:rtl w:val="0"/>
        </w:rPr>
        <w:t xml:space="preserve">GRAND PRIX – </w:t>
      </w:r>
      <w:r w:rsidDel="00000000" w:rsidR="00000000" w:rsidRPr="00000000">
        <w:rPr>
          <w:rtl w:val="0"/>
        </w:rPr>
        <w:t xml:space="preserve">Coral Gardeners pour son projet de restauration corallienne et de reconversion des savoir-faire des fermes perlières des Tuamotu</w:t>
      </w:r>
    </w:p>
    <w:p w:rsidR="00000000" w:rsidDel="00000000" w:rsidP="00000000" w:rsidRDefault="00000000" w:rsidRPr="00000000" w14:paraId="00000016">
      <w:pPr>
        <w:numPr>
          <w:ilvl w:val="0"/>
          <w:numId w:val="1"/>
        </w:numPr>
        <w:spacing w:after="0" w:afterAutospacing="0"/>
        <w:ind w:left="720" w:hanging="360"/>
        <w:rPr>
          <w:u w:val="none"/>
        </w:rPr>
      </w:pPr>
      <w:r w:rsidDel="00000000" w:rsidR="00000000" w:rsidRPr="00000000">
        <w:rPr>
          <w:b w:val="1"/>
          <w:bCs w:val="1"/>
          <w:rtl w:val="0"/>
        </w:rPr>
        <w:t xml:space="preserve">INNOVATION –</w:t>
      </w:r>
      <w:r w:rsidDel="00000000" w:rsidR="00000000" w:rsidRPr="00000000">
        <w:rPr>
          <w:rtl w:val="0"/>
        </w:rPr>
        <w:t xml:space="preserve"> L’association Oceania pour son projet Ocean-IA :  un dispositif inédit mobilisant l’intelligence artificielle afin de détecter les baleines et prévenir les collisions avec les navires </w:t>
      </w:r>
    </w:p>
    <w:p w:rsidR="00000000" w:rsidDel="00000000" w:rsidP="00000000" w:rsidRDefault="00000000" w:rsidRPr="00000000" w14:paraId="00000017">
      <w:pPr>
        <w:numPr>
          <w:ilvl w:val="0"/>
          <w:numId w:val="1"/>
        </w:numPr>
        <w:spacing w:after="0" w:afterAutospacing="0"/>
        <w:ind w:left="720" w:hanging="360"/>
        <w:rPr>
          <w:u w:val="none"/>
        </w:rPr>
      </w:pPr>
      <w:r w:rsidDel="00000000" w:rsidR="00000000" w:rsidRPr="00000000">
        <w:rPr>
          <w:b w:val="1"/>
          <w:bCs w:val="1"/>
          <w:rtl w:val="0"/>
        </w:rPr>
        <w:t xml:space="preserve">SENSIBILISATION –</w:t>
      </w:r>
      <w:r w:rsidDel="00000000" w:rsidR="00000000" w:rsidRPr="00000000">
        <w:rPr>
          <w:rtl w:val="0"/>
        </w:rPr>
        <w:t xml:space="preserve"> l’association Tama no te tairoto pour son projet ‘A Parau te To’a – Dire le corail, un lexique illustré en reo tahiti dédié au corail</w:t>
      </w:r>
    </w:p>
    <w:p w:rsidR="00000000" w:rsidDel="00000000" w:rsidP="00000000" w:rsidRDefault="00000000" w:rsidRPr="00000000" w14:paraId="00000018">
      <w:pPr>
        <w:numPr>
          <w:ilvl w:val="0"/>
          <w:numId w:val="1"/>
        </w:numPr>
        <w:spacing w:after="0" w:afterAutospacing="0"/>
        <w:ind w:left="720" w:hanging="360"/>
        <w:rPr>
          <w:u w:val="none"/>
        </w:rPr>
      </w:pPr>
      <w:r w:rsidDel="00000000" w:rsidR="00000000" w:rsidRPr="00000000">
        <w:rPr>
          <w:b w:val="1"/>
          <w:bCs w:val="1"/>
          <w:rtl w:val="0"/>
        </w:rPr>
        <w:t xml:space="preserve">ARCHIPELS –</w:t>
      </w:r>
      <w:r w:rsidDel="00000000" w:rsidR="00000000" w:rsidRPr="00000000">
        <w:rPr>
          <w:rtl w:val="0"/>
        </w:rPr>
        <w:t xml:space="preserve"> L’association de Huahine A Ti’a Matairea pour son projet Tamari’i Guardians, un programme éducatif autour du rāhui à Huahine</w:t>
      </w:r>
    </w:p>
    <w:p w:rsidR="00000000" w:rsidDel="00000000" w:rsidP="00000000" w:rsidRDefault="00000000" w:rsidRPr="00000000" w14:paraId="00000019">
      <w:pPr>
        <w:numPr>
          <w:ilvl w:val="0"/>
          <w:numId w:val="1"/>
        </w:numPr>
        <w:spacing w:after="0" w:afterAutospacing="0"/>
        <w:ind w:left="720" w:hanging="360"/>
        <w:rPr>
          <w:u w:val="none"/>
        </w:rPr>
      </w:pPr>
      <w:r w:rsidDel="00000000" w:rsidR="00000000" w:rsidRPr="00000000">
        <w:rPr>
          <w:b w:val="1"/>
          <w:bCs w:val="1"/>
          <w:rtl w:val="0"/>
        </w:rPr>
        <w:t xml:space="preserve">SCIENCE PARTICIPATIVE  –</w:t>
      </w:r>
      <w:r w:rsidDel="00000000" w:rsidR="00000000" w:rsidRPr="00000000">
        <w:rPr>
          <w:rtl w:val="0"/>
        </w:rPr>
        <w:t xml:space="preserve"> L’association Te Aho To’a pour son projet To’a Mata – associant citoyens et scientifiques dans la gestion écologique de la prolifération des taramea (Acanthaster cf. solaris)</w:t>
      </w:r>
    </w:p>
    <w:p w:rsidR="00000000" w:rsidDel="00000000" w:rsidP="00000000" w:rsidRDefault="00000000" w:rsidRPr="00000000" w14:paraId="0000001A">
      <w:pPr>
        <w:numPr>
          <w:ilvl w:val="0"/>
          <w:numId w:val="1"/>
        </w:numPr>
        <w:spacing w:after="0" w:afterAutospacing="0"/>
        <w:ind w:left="720" w:hanging="360"/>
        <w:rPr>
          <w:u w:val="none"/>
        </w:rPr>
      </w:pPr>
      <w:r w:rsidDel="00000000" w:rsidR="00000000" w:rsidRPr="00000000">
        <w:rPr>
          <w:b w:val="1"/>
          <w:bCs w:val="1"/>
          <w:rtl w:val="0"/>
        </w:rPr>
        <w:t xml:space="preserve">COUP DE CŒUR DU PUBLIC PROJET –</w:t>
      </w:r>
      <w:r w:rsidDel="00000000" w:rsidR="00000000" w:rsidRPr="00000000">
        <w:rPr>
          <w:rtl w:val="0"/>
        </w:rPr>
        <w:t xml:space="preserve"> L’association Te mana o te moana pour son projet de Kit pédagogique numérique sur l’univers marin pour les archipels</w:t>
      </w:r>
    </w:p>
    <w:p w:rsidR="00000000" w:rsidDel="00000000" w:rsidP="00000000" w:rsidRDefault="00000000" w:rsidRPr="00000000" w14:paraId="0000001B">
      <w:pPr>
        <w:numPr>
          <w:ilvl w:val="0"/>
          <w:numId w:val="1"/>
        </w:numPr>
        <w:spacing w:after="0" w:afterAutospacing="0"/>
        <w:ind w:left="720" w:hanging="360"/>
        <w:rPr>
          <w:u w:val="none"/>
        </w:rPr>
      </w:pPr>
      <w:r w:rsidDel="00000000" w:rsidR="00000000" w:rsidRPr="00000000">
        <w:rPr>
          <w:b w:val="1"/>
          <w:bCs w:val="1"/>
          <w:rtl w:val="0"/>
        </w:rPr>
        <w:t xml:space="preserve">COUP DE CŒUR DU PUBLIC ÉCOLE –</w:t>
      </w:r>
      <w:r w:rsidDel="00000000" w:rsidR="00000000" w:rsidRPr="00000000">
        <w:rPr>
          <w:rtl w:val="0"/>
        </w:rPr>
        <w:t xml:space="preserve"> Lycée La Mennais pour son projet Te ‘upa o te moana</w:t>
      </w:r>
    </w:p>
    <w:p w:rsidR="00000000" w:rsidDel="00000000" w:rsidP="00000000" w:rsidRDefault="00000000" w:rsidRPr="00000000" w14:paraId="0000001C">
      <w:pPr>
        <w:numPr>
          <w:ilvl w:val="0"/>
          <w:numId w:val="1"/>
        </w:numPr>
        <w:ind w:left="720" w:hanging="360"/>
        <w:rPr>
          <w:u w:val="none"/>
        </w:rPr>
      </w:pPr>
      <w:r w:rsidDel="00000000" w:rsidR="00000000" w:rsidRPr="00000000">
        <w:rPr>
          <w:b w:val="1"/>
          <w:bCs w:val="1"/>
          <w:rtl w:val="0"/>
        </w:rPr>
        <w:t xml:space="preserve">6 Trophées des écoles « Mon récif, ma culture »</w:t>
      </w:r>
      <w:r w:rsidDel="00000000" w:rsidR="00000000" w:rsidRPr="00000000">
        <w:rPr>
          <w:rtl w:val="0"/>
        </w:rPr>
        <w:t xml:space="preserve"> : l’école de Maiao, la grande section Teina Mahu de Tubuai, l’école primaire Te Tahua o Fariki no Hao, le collège de Rangiroa, l’IIME Tearama de Paea, et le lycée professionnel de Faa’a.</w:t>
      </w:r>
    </w:p>
    <w:p w:rsidR="00000000" w:rsidDel="00000000" w:rsidP="00000000" w:rsidRDefault="00000000" w:rsidRPr="00000000" w14:paraId="0000001D">
      <w:pPr>
        <w:rPr>
          <w:u w:val="none"/>
        </w:rPr>
      </w:pPr>
      <w:r w:rsidDel="00000000" w:rsidR="00000000" w:rsidRPr="00000000">
        <w:rPr>
          <w:rtl w:val="0"/>
        </w:rPr>
        <w:t xml:space="preserve">Dotés par l’Ifrecor Polynésie d’une enveloppe globale de 4,3 millions de FCFP, les 13 Trophées TO’A Reef 2025 bénéficient du fort soutien du Comité national de l’Ifrecor, de l’International Coral Reef Initiative (ICRI), et des acteurs privés du Fenua : Banque de Polynésie, Polynésienne des Eaux, Pacific Beachcomber et Intercontinental Tahiti Resort &amp; Spa, Air Tahiti, ainsi que le Cluster maritime de Polynésie française.</w:t>
      </w:r>
      <w:r w:rsidDel="00000000" w:rsidR="00000000" w:rsidRPr="00000000">
        <w:rPr>
          <w:rtl w:val="0"/>
        </w:rPr>
      </w:r>
    </w:p>
    <w:sectPr>
      <w:headerReference r:id="rId8" w:type="first"/>
      <w:headerReference r:id="rId9" w:type="even"/>
      <w:footerReference r:id="rId10" w:type="default"/>
      <w:footerReference r:id="rId11" w:type="first"/>
      <w:footerReference r:id="rId12" w:type="even"/>
      <w:pgSz w:h="16838" w:w="11906"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Oxygen">
    <w:embedRegular w:fontKey="{00000000-0000-0000-0000-000000000000}" r:id="rId1" w:subsetted="0"/>
    <w:embedBold w:fontKey="{00000000-0000-0000-0000-000000000000}" r:id="rId2" w:subsetted="0"/>
  </w:font>
  <w:font w:name="Roboto Condensed">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spacing w:after="80" w:before="0" w:line="240" w:lineRule="auto"/>
      <w:jc w:val="center"/>
      <w:rPr/>
    </w:pPr>
    <w:r w:rsidDel="00000000" w:rsidR="00000000" w:rsidRPr="00000000">
      <w:rPr>
        <w:rtl w:val="0"/>
      </w:rPr>
    </w:r>
  </w:p>
  <w:p w:rsidR="00000000" w:rsidDel="00000000" w:rsidP="00000000" w:rsidRDefault="00000000" w:rsidRPr="00000000" w14:paraId="00000023">
    <w:pPr>
      <w:spacing w:after="80" w:before="0" w:line="240" w:lineRule="auto"/>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spacing w:after="80" w:before="0" w:line="240" w:lineRule="auto"/>
      <w:jc w:val="center"/>
      <w:rPr/>
    </w:pPr>
    <w:r w:rsidDel="00000000" w:rsidR="00000000" w:rsidRPr="00000000">
      <w:rPr>
        <w:rFonts w:ascii="Roboto Condensed" w:cs="Roboto Condensed" w:eastAsia="Roboto Condensed" w:hAnsi="Roboto Condensed"/>
        <w:b w:val="1"/>
        <w:bCs w:val="1"/>
        <w:color w:val="646464"/>
        <w:sz w:val="18"/>
        <w:szCs w:val="18"/>
        <w:rtl w:val="0"/>
      </w:rPr>
      <w:t xml:space="preserve">COMITÉ LOCAL DE L’IFRECOR POLYNÉSIE FRANÇAISE</w:t>
      <w:br w:type="textWrapping"/>
    </w:r>
    <w:r w:rsidDel="00000000" w:rsidR="00000000" w:rsidRPr="00000000">
      <w:rPr>
        <w:rFonts w:ascii="Roboto Condensed" w:cs="Roboto Condensed" w:eastAsia="Roboto Condensed" w:hAnsi="Roboto Condensed"/>
        <w:i w:val="1"/>
        <w:iCs w:val="1"/>
        <w:color w:val="646464"/>
        <w:sz w:val="16"/>
        <w:szCs w:val="16"/>
        <w:rtl w:val="0"/>
      </w:rPr>
      <w:t xml:space="preserve">R</w:t>
    </w:r>
    <w:r w:rsidDel="00000000" w:rsidR="00000000" w:rsidRPr="00000000">
      <w:rPr>
        <w:rFonts w:ascii="Roboto Condensed" w:cs="Roboto Condensed" w:eastAsia="Roboto Condensed" w:hAnsi="Roboto Condensed"/>
        <w:i w:val="1"/>
        <w:iCs w:val="1"/>
        <w:color w:val="646464"/>
        <w:sz w:val="18"/>
        <w:szCs w:val="18"/>
        <w:rtl w:val="0"/>
      </w:rPr>
      <w:t xml:space="preserve">eprésentante et coordinatrice : Muriel PONTAROLLO -  Email : </w:t>
    </w:r>
    <w:hyperlink r:id="rId1">
      <w:r w:rsidDel="00000000" w:rsidR="00000000" w:rsidRPr="00000000">
        <w:rPr>
          <w:rFonts w:ascii="Roboto Condensed" w:cs="Roboto Condensed" w:eastAsia="Roboto Condensed" w:hAnsi="Roboto Condensed"/>
          <w:i w:val="1"/>
          <w:iCs w:val="1"/>
          <w:color w:val="1155cc"/>
          <w:sz w:val="18"/>
          <w:szCs w:val="18"/>
          <w:u w:val="single"/>
          <w:rtl w:val="0"/>
        </w:rPr>
        <w:t xml:space="preserve">ifrecor.pf@gmail.com</w:t>
      </w:r>
    </w:hyperlink>
    <w:r w:rsidDel="00000000" w:rsidR="00000000" w:rsidRPr="00000000">
      <w:rPr>
        <w:rFonts w:ascii="Roboto Condensed" w:cs="Roboto Condensed" w:eastAsia="Roboto Condensed" w:hAnsi="Roboto Condensed"/>
        <w:i w:val="1"/>
        <w:iCs w:val="1"/>
        <w:color w:val="646464"/>
        <w:sz w:val="18"/>
        <w:szCs w:val="18"/>
        <w:rtl w:val="0"/>
      </w:rPr>
      <w:t xml:space="preserve"> - </w:t>
    </w:r>
    <w:r w:rsidDel="00000000" w:rsidR="00000000" w:rsidRPr="00000000">
      <w:rPr>
        <w:rFonts w:ascii="Roboto Condensed" w:cs="Roboto Condensed" w:eastAsia="Roboto Condensed" w:hAnsi="Roboto Condensed"/>
        <w:i w:val="1"/>
        <w:iCs w:val="1"/>
        <w:color w:val="1155cc"/>
        <w:sz w:val="18"/>
        <w:szCs w:val="18"/>
        <w:highlight w:val="white"/>
        <w:rtl w:val="0"/>
      </w:rPr>
      <w:t xml:space="preserve"> </w:t>
    </w:r>
    <w:r w:rsidDel="00000000" w:rsidR="00000000" w:rsidRPr="00000000">
      <w:rPr>
        <w:rFonts w:ascii="Roboto Condensed" w:cs="Roboto Condensed" w:eastAsia="Roboto Condensed" w:hAnsi="Roboto Condensed"/>
        <w:i w:val="1"/>
        <w:iCs w:val="1"/>
        <w:color w:val="646464"/>
        <w:sz w:val="18"/>
        <w:szCs w:val="18"/>
        <w:rtl w:val="0"/>
      </w:rPr>
      <w:t xml:space="preserve">Tél : </w:t>
    </w:r>
    <w:r w:rsidDel="00000000" w:rsidR="00000000" w:rsidRPr="00000000">
      <w:rPr>
        <w:rFonts w:ascii="Roboto Condensed" w:cs="Roboto Condensed" w:eastAsia="Roboto Condensed" w:hAnsi="Roboto Condensed"/>
        <w:i w:val="1"/>
        <w:iCs w:val="1"/>
        <w:color w:val="1155cc"/>
        <w:sz w:val="18"/>
        <w:szCs w:val="18"/>
        <w:rtl w:val="0"/>
      </w:rPr>
      <w:t xml:space="preserve">+689 87 78 70 87 </w:t>
    </w:r>
    <w:r w:rsidDel="00000000" w:rsidR="00000000" w:rsidRPr="00000000">
      <w:rPr>
        <w:rFonts w:ascii="Roboto Condensed" w:cs="Roboto Condensed" w:eastAsia="Roboto Condensed" w:hAnsi="Roboto Condensed"/>
        <w:i w:val="1"/>
        <w:iCs w:val="1"/>
        <w:color w:val="666666"/>
        <w:sz w:val="18"/>
        <w:szCs w:val="18"/>
        <w:rtl w:val="0"/>
      </w:rPr>
      <w:t xml:space="preserve"> </w:t>
    </w:r>
    <w:r w:rsidDel="00000000" w:rsidR="00000000" w:rsidRPr="00000000">
      <w:rPr>
        <w:rFonts w:ascii="Roboto Condensed" w:cs="Roboto Condensed" w:eastAsia="Roboto Condensed" w:hAnsi="Roboto Condensed"/>
        <w:i w:val="1"/>
        <w:iCs w:val="1"/>
        <w:sz w:val="18"/>
        <w:szCs w:val="18"/>
        <w:rtl w:val="0"/>
      </w:rPr>
      <w:t xml:space="preserve">| </w:t>
    </w:r>
    <w:r w:rsidDel="00000000" w:rsidR="00000000" w:rsidRPr="00000000">
      <w:rPr>
        <w:rFonts w:ascii="Roboto Condensed" w:cs="Roboto Condensed" w:eastAsia="Roboto Condensed" w:hAnsi="Roboto Condensed"/>
        <w:i w:val="1"/>
        <w:iCs w:val="1"/>
        <w:color w:val="666666"/>
        <w:sz w:val="18"/>
        <w:szCs w:val="18"/>
        <w:rtl w:val="0"/>
      </w:rPr>
      <w:t xml:space="preserve">-10 GMT</w:t>
    </w:r>
    <w:r w:rsidDel="00000000" w:rsidR="00000000" w:rsidRPr="00000000">
      <w:rPr>
        <w:rtl w:val="0"/>
      </w:rPr>
    </w:r>
  </w:p>
  <w:p w:rsidR="00000000" w:rsidDel="00000000" w:rsidP="00000000" w:rsidRDefault="00000000" w:rsidRPr="00000000" w14:paraId="00000025">
    <w:pPr>
      <w:spacing w:after="80" w:before="0" w:line="240" w:lineRule="auto"/>
      <w:jc w:val="right"/>
      <w:rPr>
        <w:color w:val="4c772d"/>
        <w:sz w:val="36"/>
        <w:szCs w:val="36"/>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6">
    <w:pPr>
      <w:spacing w:after="80" w:before="0" w:line="240" w:lineRule="auto"/>
      <w:jc w:val="right"/>
      <w:rPr>
        <w:color w:val="4c772d"/>
        <w:sz w:val="36"/>
        <w:szCs w:val="36"/>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spacing w:after="80" w:before="0" w:line="240" w:lineRule="auto"/>
      <w:jc w:val="center"/>
      <w:rPr>
        <w:rFonts w:ascii="Roboto Condensed" w:cs="Roboto Condensed" w:eastAsia="Roboto Condensed" w:hAnsi="Roboto Condensed"/>
        <w:b w:val="1"/>
        <w:bCs w:val="1"/>
        <w:color w:val="646464"/>
        <w:sz w:val="18"/>
        <w:szCs w:val="18"/>
      </w:rPr>
    </w:pPr>
    <w:r w:rsidDel="00000000" w:rsidR="00000000" w:rsidRPr="00000000">
      <w:rPr>
        <w:rtl w:val="0"/>
      </w:rPr>
    </w:r>
  </w:p>
  <w:p w:rsidR="00000000" w:rsidDel="00000000" w:rsidP="00000000" w:rsidRDefault="00000000" w:rsidRPr="00000000" w14:paraId="00000028">
    <w:pPr>
      <w:spacing w:after="80" w:before="0" w:line="240" w:lineRule="auto"/>
      <w:jc w:val="center"/>
      <w:rPr>
        <w:rFonts w:ascii="Roboto Condensed" w:cs="Roboto Condensed" w:eastAsia="Roboto Condensed" w:hAnsi="Roboto Condensed"/>
        <w:b w:val="1"/>
        <w:bCs w:val="1"/>
        <w:color w:val="646464"/>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spacing w:after="80" w:before="0" w:line="240" w:lineRule="auto"/>
      <w:jc w:val="center"/>
      <w:rPr>
        <w:rFonts w:ascii="Roboto Condensed" w:cs="Roboto Condensed" w:eastAsia="Roboto Condensed" w:hAnsi="Roboto Condensed"/>
        <w:i w:val="1"/>
        <w:iCs w:val="1"/>
        <w:color w:val="666666"/>
        <w:sz w:val="18"/>
        <w:szCs w:val="18"/>
      </w:rPr>
    </w:pPr>
    <w:r w:rsidDel="00000000" w:rsidR="00000000" w:rsidRPr="00000000">
      <w:rPr>
        <w:rFonts w:ascii="Roboto Condensed" w:cs="Roboto Condensed" w:eastAsia="Roboto Condensed" w:hAnsi="Roboto Condensed"/>
        <w:b w:val="1"/>
        <w:bCs w:val="1"/>
        <w:color w:val="646464"/>
        <w:sz w:val="18"/>
        <w:szCs w:val="18"/>
        <w:rtl w:val="0"/>
      </w:rPr>
      <w:t xml:space="preserve">COMITÉ LOCAL DE L’IFRECOR POLYNÉSIE FRANÇAISE</w:t>
      <w:br w:type="textWrapping"/>
    </w:r>
    <w:r w:rsidDel="00000000" w:rsidR="00000000" w:rsidRPr="00000000">
      <w:rPr>
        <w:rFonts w:ascii="Roboto Condensed" w:cs="Roboto Condensed" w:eastAsia="Roboto Condensed" w:hAnsi="Roboto Condensed"/>
        <w:i w:val="1"/>
        <w:iCs w:val="1"/>
        <w:color w:val="646464"/>
        <w:sz w:val="16"/>
        <w:szCs w:val="16"/>
        <w:rtl w:val="0"/>
      </w:rPr>
      <w:t xml:space="preserve">R</w:t>
    </w:r>
    <w:r w:rsidDel="00000000" w:rsidR="00000000" w:rsidRPr="00000000">
      <w:rPr>
        <w:rFonts w:ascii="Roboto Condensed" w:cs="Roboto Condensed" w:eastAsia="Roboto Condensed" w:hAnsi="Roboto Condensed"/>
        <w:i w:val="1"/>
        <w:iCs w:val="1"/>
        <w:color w:val="646464"/>
        <w:sz w:val="18"/>
        <w:szCs w:val="18"/>
        <w:rtl w:val="0"/>
      </w:rPr>
      <w:t xml:space="preserve">eprésentante et coordinatrice : Muriel PONTAROLLO -  Email : </w:t>
    </w:r>
    <w:hyperlink r:id="rId1">
      <w:r w:rsidDel="00000000" w:rsidR="00000000" w:rsidRPr="00000000">
        <w:rPr>
          <w:rFonts w:ascii="Roboto Condensed" w:cs="Roboto Condensed" w:eastAsia="Roboto Condensed" w:hAnsi="Roboto Condensed"/>
          <w:i w:val="1"/>
          <w:iCs w:val="1"/>
          <w:color w:val="1155cc"/>
          <w:sz w:val="18"/>
          <w:szCs w:val="18"/>
          <w:u w:val="single"/>
          <w:rtl w:val="0"/>
        </w:rPr>
        <w:t xml:space="preserve">ifrecor.pf@gmail.com</w:t>
      </w:r>
    </w:hyperlink>
    <w:r w:rsidDel="00000000" w:rsidR="00000000" w:rsidRPr="00000000">
      <w:rPr>
        <w:rFonts w:ascii="Roboto Condensed" w:cs="Roboto Condensed" w:eastAsia="Roboto Condensed" w:hAnsi="Roboto Condensed"/>
        <w:i w:val="1"/>
        <w:iCs w:val="1"/>
        <w:color w:val="646464"/>
        <w:sz w:val="18"/>
        <w:szCs w:val="18"/>
        <w:rtl w:val="0"/>
      </w:rPr>
      <w:t xml:space="preserve"> - </w:t>
    </w:r>
    <w:r w:rsidDel="00000000" w:rsidR="00000000" w:rsidRPr="00000000">
      <w:rPr>
        <w:rFonts w:ascii="Roboto Condensed" w:cs="Roboto Condensed" w:eastAsia="Roboto Condensed" w:hAnsi="Roboto Condensed"/>
        <w:i w:val="1"/>
        <w:iCs w:val="1"/>
        <w:color w:val="1155cc"/>
        <w:sz w:val="18"/>
        <w:szCs w:val="18"/>
        <w:highlight w:val="white"/>
        <w:rtl w:val="0"/>
      </w:rPr>
      <w:t xml:space="preserve"> </w:t>
    </w:r>
    <w:r w:rsidDel="00000000" w:rsidR="00000000" w:rsidRPr="00000000">
      <w:rPr>
        <w:rFonts w:ascii="Roboto Condensed" w:cs="Roboto Condensed" w:eastAsia="Roboto Condensed" w:hAnsi="Roboto Condensed"/>
        <w:i w:val="1"/>
        <w:iCs w:val="1"/>
        <w:color w:val="646464"/>
        <w:sz w:val="18"/>
        <w:szCs w:val="18"/>
        <w:rtl w:val="0"/>
      </w:rPr>
      <w:t xml:space="preserve">Tél : </w:t>
    </w:r>
    <w:r w:rsidDel="00000000" w:rsidR="00000000" w:rsidRPr="00000000">
      <w:rPr>
        <w:rFonts w:ascii="Roboto Condensed" w:cs="Roboto Condensed" w:eastAsia="Roboto Condensed" w:hAnsi="Roboto Condensed"/>
        <w:i w:val="1"/>
        <w:iCs w:val="1"/>
        <w:color w:val="1155cc"/>
        <w:sz w:val="18"/>
        <w:szCs w:val="18"/>
        <w:rtl w:val="0"/>
      </w:rPr>
      <w:t xml:space="preserve">+689 87 78 70 87 </w:t>
    </w:r>
    <w:r w:rsidDel="00000000" w:rsidR="00000000" w:rsidRPr="00000000">
      <w:rPr>
        <w:rFonts w:ascii="Roboto Condensed" w:cs="Roboto Condensed" w:eastAsia="Roboto Condensed" w:hAnsi="Roboto Condensed"/>
        <w:i w:val="1"/>
        <w:iCs w:val="1"/>
        <w:color w:val="666666"/>
        <w:sz w:val="18"/>
        <w:szCs w:val="18"/>
        <w:rtl w:val="0"/>
      </w:rPr>
      <w:t xml:space="preserve"> </w:t>
    </w:r>
    <w:r w:rsidDel="00000000" w:rsidR="00000000" w:rsidRPr="00000000">
      <w:rPr>
        <w:rFonts w:ascii="Roboto Condensed" w:cs="Roboto Condensed" w:eastAsia="Roboto Condensed" w:hAnsi="Roboto Condensed"/>
        <w:i w:val="1"/>
        <w:iCs w:val="1"/>
        <w:sz w:val="18"/>
        <w:szCs w:val="18"/>
        <w:rtl w:val="0"/>
      </w:rPr>
      <w:t xml:space="preserve">| </w:t>
    </w:r>
    <w:r w:rsidDel="00000000" w:rsidR="00000000" w:rsidRPr="00000000">
      <w:rPr>
        <w:rFonts w:ascii="Roboto Condensed" w:cs="Roboto Condensed" w:eastAsia="Roboto Condensed" w:hAnsi="Roboto Condensed"/>
        <w:i w:val="1"/>
        <w:iCs w:val="1"/>
        <w:color w:val="666666"/>
        <w:sz w:val="18"/>
        <w:szCs w:val="18"/>
        <w:rtl w:val="0"/>
      </w:rPr>
      <w:t xml:space="preserve">-10 GMT</w:t>
    </w:r>
  </w:p>
  <w:p w:rsidR="00000000" w:rsidDel="00000000" w:rsidP="00000000" w:rsidRDefault="00000000" w:rsidRPr="00000000" w14:paraId="0000002A">
    <w:pPr>
      <w:spacing w:after="80" w:before="0" w:line="240" w:lineRule="auto"/>
      <w:jc w:val="right"/>
      <w:rPr>
        <w:color w:val="4c772d"/>
        <w:sz w:val="36"/>
        <w:szCs w:val="36"/>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B">
    <w:pPr>
      <w:spacing w:after="80" w:before="0" w:line="240" w:lineRule="auto"/>
      <w:jc w:val="right"/>
      <w:rPr>
        <w:color w:val="4c772d"/>
        <w:sz w:val="36"/>
        <w:szCs w:val="36"/>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Oxygen" w:cs="Oxygen" w:eastAsia="Oxygen" w:hAnsi="Oxygen"/>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1"/>
      <w:keepLines w:val="1"/>
      <w:spacing w:line="240" w:lineRule="auto"/>
      <w:jc w:val="right"/>
      <w:rPr>
        <w:b w:val="1"/>
        <w:bCs w:val="1"/>
        <w:color w:val="1c4587"/>
        <w:sz w:val="24"/>
        <w:szCs w:val="24"/>
      </w:rPr>
    </w:pPr>
    <w:r w:rsidDel="00000000" w:rsidR="00000000" w:rsidRPr="00000000">
      <w:rPr>
        <w:b w:val="1"/>
        <w:bCs w:val="1"/>
        <w:color w:val="1c4587"/>
        <w:sz w:val="24"/>
        <w:szCs w:val="24"/>
        <w:rtl w:val="0"/>
      </w:rPr>
      <w:t xml:space="preserve">COMMUNIQUÉ DE PRESSE</w:t>
    </w:r>
    <w:r w:rsidDel="00000000" w:rsidR="00000000" w:rsidRPr="00000000">
      <w:drawing>
        <wp:anchor allowOverlap="1" behindDoc="0" distB="114300" distT="114300" distL="114300" distR="114300" hidden="0" layoutInCell="1" locked="0" relativeHeight="0" simplePos="0">
          <wp:simplePos x="0" y="0"/>
          <wp:positionH relativeFrom="column">
            <wp:posOffset>19057</wp:posOffset>
          </wp:positionH>
          <wp:positionV relativeFrom="paragraph">
            <wp:posOffset>19057</wp:posOffset>
          </wp:positionV>
          <wp:extent cx="1798955" cy="762000"/>
          <wp:effectExtent b="0" l="0" r="0" t="0"/>
          <wp:wrapSquare wrapText="bothSides" distB="114300" distT="114300" distL="114300" distR="114300"/>
          <wp:docPr id="3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98955" cy="762000"/>
                  </a:xfrm>
                  <a:prstGeom prst="rect"/>
                  <a:ln/>
                </pic:spPr>
              </pic:pic>
            </a:graphicData>
          </a:graphic>
        </wp:anchor>
      </w:drawing>
    </w:r>
  </w:p>
  <w:p w:rsidR="00000000" w:rsidDel="00000000" w:rsidP="00000000" w:rsidRDefault="00000000" w:rsidRPr="00000000" w14:paraId="0000001F">
    <w:pPr>
      <w:pStyle w:val="Heading4"/>
      <w:jc w:val="right"/>
      <w:rPr/>
    </w:pPr>
    <w:bookmarkStart w:colFirst="0" w:colLast="0" w:name="_heading=h.cp471nieo90b" w:id="4"/>
    <w:bookmarkEnd w:id="4"/>
    <w:r w:rsidDel="00000000" w:rsidR="00000000" w:rsidRPr="00000000">
      <w:rPr>
        <w:rtl w:val="0"/>
      </w:rPr>
      <w:t xml:space="preserve">Te Mana o Te Moana Nui a Hiva</w:t>
    </w:r>
  </w:p>
  <w:p w:rsidR="00000000" w:rsidDel="00000000" w:rsidP="00000000" w:rsidRDefault="00000000" w:rsidRPr="00000000" w14:paraId="00000020">
    <w:pPr>
      <w:spacing w:after="200" w:before="0" w:lineRule="auto"/>
      <w:ind w:right="-182" w:firstLine="0"/>
      <w:rPr/>
    </w:pPr>
    <w:r w:rsidDel="00000000" w:rsidR="00000000" w:rsidRPr="00000000">
      <w:pict>
        <v:rect style="width:0.0pt;height:1.5pt" o:hr="t" o:hrstd="t" o:hralign="center" fillcolor="#A0A0A0" stroked="f"/>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Oxygen" w:cs="Oxygen" w:eastAsia="Oxygen" w:hAnsi="Oxygen"/>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xygen" w:cs="Oxygen" w:eastAsia="Oxygen" w:hAnsi="Oxygen"/>
        <w:sz w:val="22"/>
        <w:szCs w:val="22"/>
        <w:lang w:val="fr"/>
      </w:rPr>
    </w:rPrDefault>
    <w:pPrDefault>
      <w:pPr>
        <w:spacing w:after="20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pPr>
    <w:rPr>
      <w:rFonts w:ascii="Calibri" w:cs="Calibri" w:eastAsia="Calibri" w:hAnsi="Calibri"/>
      <w:b w:val="1"/>
      <w:bCs w:val="1"/>
      <w:i w:val="0"/>
      <w:iCs w:val="0"/>
      <w:smallCaps w:val="0"/>
      <w:strike w:val="0"/>
      <w:color w:val="0b5394"/>
      <w:sz w:val="36"/>
      <w:szCs w:val="36"/>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pPr>
    <w:rPr>
      <w:rFonts w:ascii="Oxygen" w:cs="Oxygen" w:eastAsia="Oxygen" w:hAnsi="Oxygen"/>
      <w:b w:val="0"/>
      <w:bCs w:val="0"/>
      <w:i w:val="0"/>
      <w:iCs w:val="0"/>
      <w:smallCaps w:val="0"/>
      <w:strike w:val="0"/>
      <w:color w:val="4c772d"/>
      <w:sz w:val="28"/>
      <w:szCs w:val="28"/>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6.80046153846155" w:lineRule="auto"/>
      <w:ind w:left="0" w:right="0" w:firstLine="0"/>
      <w:jc w:val="both"/>
    </w:pPr>
    <w:rPr>
      <w:rFonts w:ascii="Calibri" w:cs="Calibri" w:eastAsia="Calibri" w:hAnsi="Calibri"/>
      <w:b w:val="0"/>
      <w:bCs w:val="0"/>
      <w:i w:val="0"/>
      <w:iCs w:val="0"/>
      <w:smallCaps w:val="0"/>
      <w:strike w:val="0"/>
      <w:color w:val="1a6187"/>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both"/>
    </w:pPr>
    <w:rPr>
      <w:rFonts w:ascii="Oxygen" w:cs="Oxygen" w:eastAsia="Oxygen" w:hAnsi="Oxygen"/>
      <w:b w:val="0"/>
      <w:bCs w:val="0"/>
      <w:i w:val="0"/>
      <w:iCs w:val="0"/>
      <w:smallCaps w:val="0"/>
      <w:strike w:val="0"/>
      <w:color w:val="00aeef"/>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360" w:lineRule="auto"/>
      <w:ind w:left="720" w:right="0" w:hanging="360"/>
      <w:jc w:val="both"/>
    </w:pPr>
    <w:rPr>
      <w:rFonts w:ascii="Oxygen" w:cs="Oxygen" w:eastAsia="Oxygen" w:hAnsi="Oxygen"/>
      <w:b w:val="1"/>
      <w:bCs w:val="1"/>
      <w:i w:val="0"/>
      <w:iCs w:val="0"/>
      <w:smallCaps w:val="0"/>
      <w:strike w:val="0"/>
      <w:color w:val="666666"/>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both"/>
    </w:pPr>
    <w:rPr>
      <w:rFonts w:ascii="Oxygen" w:cs="Oxygen" w:eastAsia="Oxygen" w:hAnsi="Oxygen"/>
      <w:b w:val="0"/>
      <w:bCs w:val="0"/>
      <w:i w:val="1"/>
      <w:iCs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0" w:line="252.00000000000003" w:lineRule="auto"/>
      <w:ind w:left="0" w:right="0" w:firstLine="0"/>
      <w:jc w:val="center"/>
    </w:pPr>
    <w:rPr>
      <w:rFonts w:ascii="Oxygen" w:cs="Oxygen" w:eastAsia="Oxygen" w:hAnsi="Oxygen"/>
      <w:b w:val="0"/>
      <w:bCs w:val="0"/>
      <w:i w:val="0"/>
      <w:iCs w:val="0"/>
      <w:smallCaps w:val="0"/>
      <w:strike w:val="0"/>
      <w:color w:val="674ea7"/>
      <w:sz w:val="40"/>
      <w:szCs w:val="40"/>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qFormat w:val="1"/>
    <w:rPr/>
  </w:style>
  <w:style w:type="character" w:styleId="annotationreference">
    <w:name w:val="annotation reference"/>
    <w:uiPriority w:val="99"/>
    <w:semiHidden w:val="1"/>
    <w:unhideWhenUsed w:val="1"/>
    <w:qFormat w:val="1"/>
    <w:rPr>
      <w:sz w:val="16"/>
      <w:szCs w:val="16"/>
    </w:rPr>
  </w:style>
  <w:style w:type="character" w:styleId="CommentaireCar" w:customStyle="1">
    <w:name w:val="Commentaire Car"/>
    <w:basedOn w:val="DefaultParagraphFont"/>
    <w:uiPriority w:val="99"/>
    <w:semiHidden w:val="1"/>
    <w:qFormat w:val="1"/>
    <w:rsid w:val="00DD6D27"/>
    <w:rPr>
      <w:sz w:val="20"/>
      <w:szCs w:val="20"/>
    </w:rPr>
  </w:style>
  <w:style w:type="character" w:styleId="ObjetducommentaireCar" w:customStyle="1">
    <w:name w:val="Objet du commentaire Car"/>
    <w:basedOn w:val="CommentaireCar"/>
    <w:uiPriority w:val="99"/>
    <w:semiHidden w:val="1"/>
    <w:qFormat w:val="1"/>
    <w:rsid w:val="00DD6D27"/>
    <w:rPr>
      <w:b w:val="1"/>
      <w:bCs w:val="1"/>
      <w:sz w:val="20"/>
      <w:szCs w:val="20"/>
    </w:rPr>
  </w:style>
  <w:style w:type="character" w:styleId="TextedebullesCar" w:customStyle="1">
    <w:name w:val="Texte de bulles Car"/>
    <w:basedOn w:val="DefaultParagraphFont"/>
    <w:link w:val="BalloonText"/>
    <w:uiPriority w:val="99"/>
    <w:semiHidden w:val="1"/>
    <w:qFormat w:val="1"/>
    <w:rsid w:val="00DD6D27"/>
    <w:rPr>
      <w:rFonts w:ascii="Segoe UI" w:cs="Segoe UI" w:hAnsi="Segoe UI"/>
      <w:sz w:val="18"/>
      <w:szCs w:val="18"/>
    </w:rPr>
  </w:style>
  <w:style w:type="character" w:styleId="ObjetducommentaireCar1" w:customStyle="1">
    <w:name w:val="Objet du commentaire Car1"/>
    <w:basedOn w:val="CommentaireCar1"/>
    <w:link w:val="annotationsubject"/>
    <w:uiPriority w:val="99"/>
    <w:semiHidden w:val="1"/>
    <w:qFormat w:val="1"/>
    <w:rPr>
      <w:b w:val="1"/>
      <w:bCs w:val="1"/>
      <w:sz w:val="20"/>
      <w:szCs w:val="20"/>
    </w:rPr>
  </w:style>
  <w:style w:type="character" w:styleId="CommentaireCar1" w:customStyle="1">
    <w:name w:val="Commentaire Car1"/>
    <w:uiPriority w:val="99"/>
    <w:semiHidden w:val="1"/>
    <w:qFormat w:val="1"/>
    <w:rPr>
      <w:sz w:val="20"/>
      <w:szCs w:val="20"/>
    </w:rPr>
  </w:style>
  <w:style w:type="character" w:styleId="InternetLink">
    <w:name w:val="Internet Link"/>
    <w:qFormat w:val="1"/>
    <w:rPr>
      <w:color w:val="000080"/>
      <w:u w:val="single"/>
    </w:rPr>
  </w:style>
  <w:style w:type="character" w:styleId="Sautdindex">
    <w:name w:val="Saut d'index"/>
    <w:qFormat w:val="1"/>
    <w:rPr/>
  </w:style>
  <w:style w:type="character" w:styleId="LineNumbering">
    <w:name w:val="Line Numbering"/>
    <w:qFormat w:val="1"/>
    <w:rPr/>
  </w:style>
  <w:style w:type="character" w:styleId="Hyperlink">
    <w:name w:val="Hyperlink"/>
    <w:rPr>
      <w:color w:val="000080"/>
      <w:u w:val="single"/>
    </w:rPr>
  </w:style>
  <w:style w:type="character" w:styleId="LineNumber">
    <w:name w:val="Line Number"/>
    <w:rPr/>
  </w:style>
  <w:style w:type="paragraph" w:styleId="Titre">
    <w:name w:val="Titre"/>
    <w:basedOn w:val="normal1"/>
    <w:next w:val="BodyText"/>
    <w:qFormat w:val="1"/>
    <w:pPr>
      <w:keepNext w:val="1"/>
      <w:spacing w:after="120" w:before="240"/>
    </w:pPr>
    <w:rPr>
      <w:rFonts w:ascii="Liberation Sans" w:cs="Arial" w:eastAsia="Microsoft YaHei" w:hAnsi="Liberation Sans"/>
      <w:sz w:val="28"/>
      <w:szCs w:val="28"/>
    </w:rPr>
  </w:style>
  <w:style w:type="paragraph" w:styleId="BodyText">
    <w:name w:val="Body Text"/>
    <w:basedOn w:val="normal1"/>
    <w:pPr>
      <w:spacing w:after="140" w:before="0" w:line="276" w:lineRule="auto"/>
    </w:pPr>
    <w:rPr/>
  </w:style>
  <w:style w:type="paragraph" w:styleId="List">
    <w:name w:val="List"/>
    <w:basedOn w:val="BodyText"/>
    <w:pPr/>
    <w:rPr>
      <w:rFonts w:cs="Arial"/>
    </w:rPr>
  </w:style>
  <w:style w:type="paragraph" w:styleId="Caption">
    <w:name w:val="Caption"/>
    <w:basedOn w:val="normal1"/>
    <w:qFormat w:val="1"/>
    <w:pPr>
      <w:suppressLineNumbers w:val="1"/>
      <w:spacing w:after="120" w:before="120"/>
    </w:pPr>
    <w:rPr>
      <w:rFonts w:cs="Arial"/>
      <w:i w:val="1"/>
      <w:iCs w:val="1"/>
      <w:sz w:val="24"/>
      <w:szCs w:val="24"/>
    </w:rPr>
  </w:style>
  <w:style w:type="paragraph" w:styleId="Index">
    <w:name w:val="Index"/>
    <w:basedOn w:val="normal1"/>
    <w:qFormat w:val="1"/>
    <w:pPr>
      <w:suppressLineNumbers w:val="1"/>
    </w:pPr>
    <w:rPr>
      <w:rFonts w:cs="Arial"/>
    </w:rPr>
  </w:style>
  <w:style w:type="paragraph" w:styleId="normal1" w:default="1">
    <w:name w:val="normal1"/>
    <w:qFormat w:val="1"/>
    <w:pPr>
      <w:widowControl w:val="1"/>
      <w:bidi w:val="0"/>
      <w:spacing w:after="200" w:before="0" w:line="276" w:lineRule="auto"/>
      <w:jc w:val="both"/>
    </w:pPr>
    <w:rPr>
      <w:rFonts w:ascii="Oxygen" w:cs="Oxygen" w:eastAsia="Oxygen" w:hAnsi="Oxygen"/>
      <w:color w:val="auto"/>
      <w:kern w:val="0"/>
      <w:sz w:val="22"/>
      <w:szCs w:val="22"/>
      <w:lang w:bidi="hi-IN" w:eastAsia="zh-CN" w:val="fr-FR"/>
    </w:rPr>
  </w:style>
  <w:style w:type="paragraph" w:styleId="LO-normal" w:default="1">
    <w:name w:val="LO-normal"/>
    <w:qFormat w:val="1"/>
    <w:pPr>
      <w:widowControl w:val="1"/>
      <w:bidi w:val="0"/>
      <w:spacing w:after="200" w:before="0" w:line="276" w:lineRule="auto"/>
      <w:jc w:val="both"/>
    </w:pPr>
    <w:rPr>
      <w:rFonts w:ascii="Oxygen" w:cs="Oxygen" w:eastAsia="Oxygen" w:hAnsi="Oxygen"/>
      <w:color w:val="auto"/>
      <w:kern w:val="0"/>
      <w:sz w:val="22"/>
      <w:szCs w:val="22"/>
      <w:lang w:bidi="hi-IN" w:eastAsia="zh-CN" w:val="fr-FR"/>
    </w:rPr>
  </w:style>
  <w:style w:type="paragraph" w:styleId="AnnotationText">
    <w:name w:val="Annotation Text"/>
    <w:basedOn w:val="LO-normal"/>
    <w:link w:val="CommentaireCar1"/>
    <w:uiPriority w:val="99"/>
    <w:semiHidden w:val="1"/>
    <w:unhideWhenUsed w:val="1"/>
    <w:qFormat w:val="1"/>
    <w:pPr>
      <w:spacing w:line="240" w:lineRule="auto"/>
    </w:pPr>
    <w:rPr>
      <w:sz w:val="20"/>
      <w:szCs w:val="20"/>
    </w:rPr>
  </w:style>
  <w:style w:type="paragraph" w:styleId="annotationsubject">
    <w:name w:val="annotation subject"/>
    <w:basedOn w:val="AnnotationText"/>
    <w:next w:val="AnnotationText"/>
    <w:link w:val="ObjetducommentaireCar1"/>
    <w:uiPriority w:val="99"/>
    <w:semiHidden w:val="1"/>
    <w:unhideWhenUsed w:val="1"/>
    <w:qFormat w:val="1"/>
    <w:pPr/>
    <w:rPr>
      <w:b w:val="1"/>
      <w:bCs w:val="1"/>
    </w:rPr>
  </w:style>
  <w:style w:type="paragraph" w:styleId="BalloonText">
    <w:name w:val="Balloon Text"/>
    <w:basedOn w:val="LO-normal"/>
    <w:link w:val="TextedebullesCar"/>
    <w:uiPriority w:val="99"/>
    <w:semiHidden w:val="1"/>
    <w:unhideWhenUsed w:val="1"/>
    <w:qFormat w:val="1"/>
    <w:rsid w:val="00DD6D27"/>
    <w:pPr>
      <w:spacing w:line="240" w:lineRule="auto"/>
    </w:pPr>
    <w:rPr>
      <w:rFonts w:ascii="Segoe UI" w:cs="Segoe UI" w:hAnsi="Segoe UI"/>
      <w:sz w:val="18"/>
      <w:szCs w:val="18"/>
    </w:rPr>
  </w:style>
  <w:style w:type="paragraph" w:styleId="En-tteetpieddepage">
    <w:name w:val="En-tête et pied de page"/>
    <w:basedOn w:val="normal1"/>
    <w:qFormat w:val="1"/>
    <w:pPr/>
    <w:rPr/>
  </w:style>
  <w:style w:type="paragraph" w:styleId="HeaderandFooter">
    <w:name w:val="Header and Footer"/>
    <w:basedOn w:val="Normal"/>
    <w:qFormat w:val="1"/>
    <w:pPr/>
    <w:rPr/>
  </w:style>
  <w:style w:type="paragraph" w:styleId="Header">
    <w:name w:val="Header"/>
    <w:basedOn w:val="En-tteetpieddepage"/>
    <w:pPr/>
    <w:rPr/>
  </w:style>
  <w:style w:type="paragraph" w:styleId="Footer">
    <w:name w:val="Footer"/>
    <w:basedOn w:val="En-tteetpieddepage"/>
    <w:pPr/>
    <w:rPr/>
  </w:style>
  <w:style w:type="paragraph" w:styleId="Contenudecadre">
    <w:name w:val="Contenu de cadre"/>
    <w:basedOn w:val="Normal"/>
    <w:qFormat w:val="1"/>
    <w:pPr/>
    <w:rPr/>
  </w:style>
  <w:style w:type="numbering" w:styleId="Pasdeliste" w:default="1">
    <w:name w:val="Pas de liste"/>
    <w:uiPriority w:val="99"/>
    <w:semiHidden w:val="1"/>
    <w:unhideWhenUsed w:val="1"/>
    <w:qFormat w:val="1"/>
  </w:style>
  <w:style w:type="table" w:styleId="TableNormal" w:default="1">
    <w:name w:val="TableNormal"/>
  </w:style>
  <w:style w:type="table" w:styleId="TableNormal" w:default="1">
    <w:name w:val="Table Normal"/>
  </w:style>
  <w:style w:type="table" w:styleId="TableNormal" w:default="1">
    <w:name w:val="Table Normal"/>
  </w:style>
  <w:style w:type="table" w:styleId="TableNormal" w:default="1">
    <w:name w:val="Table Normal"/>
  </w:style>
  <w:style w:type="table" w:styleId="TableauNormal" w:default="1">
    <w:name w:val="Normal Table"/>
    <w:uiPriority w:val="99"/>
    <w:semiHidden w:val="1"/>
    <w:unhideWhenUsed w:val="1"/>
    <w:tblPr>
      <w:tblCellMar>
        <w:top w:w="0.0" w:type="dxa"/>
        <w:left w:w="108.0" w:type="dxa"/>
        <w:bottom w:w="0.0" w:type="dxa"/>
        <w:right w:w="108.0" w:type="dxa"/>
      </w:tblCellMar>
    </w:tblPr>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306" w:firstLine="0"/>
      <w:jc w:val="both"/>
    </w:pPr>
    <w:rPr>
      <w:rFonts w:ascii="Oxygen" w:cs="Oxygen" w:eastAsia="Oxygen" w:hAnsi="Oxygen"/>
      <w:b w:val="0"/>
      <w:bCs w:val="0"/>
      <w:i w:val="1"/>
      <w:iCs w:val="1"/>
      <w:smallCaps w:val="0"/>
      <w:strike w:val="0"/>
      <w:color w:val="666666"/>
      <w:sz w:val="24"/>
      <w:szCs w:val="24"/>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ifrecor.fr/wp-content/uploads/2025/11/VF-CP-Laureats-Trophees-TOA-Reef-2025-IFRECOR-POLYNESIE.docx"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xygen-regular.ttf"/><Relationship Id="rId2" Type="http://schemas.openxmlformats.org/officeDocument/2006/relationships/font" Target="fonts/Oxygen-bold.ttf"/><Relationship Id="rId3" Type="http://schemas.openxmlformats.org/officeDocument/2006/relationships/font" Target="fonts/RobotoCondensed-regular.ttf"/><Relationship Id="rId4" Type="http://schemas.openxmlformats.org/officeDocument/2006/relationships/font" Target="fonts/RobotoCondensed-bold.ttf"/><Relationship Id="rId5" Type="http://schemas.openxmlformats.org/officeDocument/2006/relationships/font" Target="fonts/RobotoCondensed-italic.ttf"/><Relationship Id="rId6" Type="http://schemas.openxmlformats.org/officeDocument/2006/relationships/font" Target="fonts/RobotoCondensed-boldItalic.ttf"/></Relationships>
</file>

<file path=word/_rels/footer1.xml.rels><?xml version="1.0" encoding="UTF-8" standalone="yes"?><Relationships xmlns="http://schemas.openxmlformats.org/package/2006/relationships"><Relationship Id="rId1" Type="http://schemas.openxmlformats.org/officeDocument/2006/relationships/hyperlink" Target="mailto:ifrecor.pf@gmail.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frecor.pf@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NoGyurXTNZYct3QF8/Lm9Xo/YQ==">CgMxLjAyDmguN2JwZm42MzlhenUxMg5oLms5MTk5M3NmNG0xNDIOaC5peXNtZzVoZ2k5NG0yDmguYjA3dDcyZ2prcjJ5Mg5oLmNwNDcxbmllbzkwYjgAciExS1JLYXlYc0lrY2hUWnRLNUVoVVN3TzhWRHNXUXVYaUU=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2025-06-23T13:00:43Z</dcterms:created>
</cp:coreProperties>
</file>