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xvyqtpjlvel4" w:id="0"/>
      <w:bookmarkEnd w:id="0"/>
      <w:r w:rsidDel="00000000" w:rsidR="00000000" w:rsidRPr="00000000">
        <w:rPr>
          <w:rtl w:val="0"/>
        </w:rPr>
        <w:t xml:space="preserve">La Ministre de la Mer rencontre les acteurs de l’Ifrecor Polynésie et annonce le soutien de la CDC Biodiversité</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b w:val="1"/>
          <w:bCs w:val="1"/>
          <w:sz w:val="20"/>
          <w:szCs w:val="20"/>
          <w:rtl w:val="0"/>
        </w:rPr>
        <w:t xml:space="preserve">Ce samedi 27 juin à Mo’orea, la Ministre déléguée chargée de la Mer et de la Pêche a longuement échangé avec les acteurs de l’Ifrecor Polynésie, engagés au quotidien pour la préservation des récifs et des lagons. “Bluffée” par cette force du collectif, Catherine Chabaud a annoncé que la Polynésie française, et l’Ifrecor Polynésie, pourront bénéficier des fonds de la CDC Biodiversité en faveur de la restauration des écosystèmes marins et côtiers.</w:t>
      </w:r>
    </w:p>
    <w:p w:rsidR="00000000" w:rsidDel="00000000" w:rsidP="00000000" w:rsidRDefault="00000000" w:rsidRPr="00000000" w14:paraId="00000003">
      <w:pPr>
        <w:rPr>
          <w:sz w:val="20"/>
          <w:szCs w:val="20"/>
        </w:rPr>
      </w:pPr>
      <w:r w:rsidDel="00000000" w:rsidR="00000000" w:rsidRPr="00000000">
        <w:rPr>
          <w:sz w:val="20"/>
          <w:szCs w:val="20"/>
          <w:rtl w:val="0"/>
        </w:rPr>
        <w:t xml:space="preserve">“Je suis bluffée par tout ce que j’ai vu et entendu aujourd’hui” a déclaré la Ministre déléguée chargée de la Mer et de la Pêche, à l’issue de ses échanges avec les lauréats des Trophées TO’A Reef de l’Ifrecor Polynésie, à l’écomusée Te Fare Natura à Mo’orea.</w:t>
      </w:r>
    </w:p>
    <w:p w:rsidR="00000000" w:rsidDel="00000000" w:rsidP="00000000" w:rsidRDefault="00000000" w:rsidRPr="00000000" w14:paraId="00000004">
      <w:pPr>
        <w:rPr>
          <w:sz w:val="20"/>
          <w:szCs w:val="20"/>
        </w:rPr>
      </w:pPr>
      <w:r w:rsidDel="00000000" w:rsidR="00000000" w:rsidRPr="00000000">
        <w:rPr>
          <w:sz w:val="20"/>
          <w:szCs w:val="20"/>
          <w:rtl w:val="0"/>
        </w:rPr>
        <w:t xml:space="preserve">La grande navigatrice qu’est également Catherine CHABAUD a souligné aussi, plus personnellement : “Quand on écoute ce que vous nous avez partagé, on comprend bien tous les enjeux : l’océan est en danger, il est pourtant notre avenir. Depuis des années, je suis persuadée que la situation est grave, mais qu’elle n’est pas désespérée, parce que nous sommes mobilisés. La mer, mes aventures de navigation, même quand je naviguais seule autour du monde, m’ont appris la force du collectif. Et cette force du collectif, c’est incroyable comme vous l’incarnez !” </w:t>
      </w:r>
    </w:p>
    <w:p w:rsidR="00000000" w:rsidDel="00000000" w:rsidP="00000000" w:rsidRDefault="00000000" w:rsidRPr="00000000" w14:paraId="00000005">
      <w:pPr>
        <w:rPr>
          <w:sz w:val="20"/>
          <w:szCs w:val="20"/>
        </w:rPr>
      </w:pPr>
      <w:r w:rsidDel="00000000" w:rsidR="00000000" w:rsidRPr="00000000">
        <w:rPr>
          <w:sz w:val="20"/>
          <w:szCs w:val="20"/>
          <w:rtl w:val="0"/>
        </w:rPr>
        <w:t xml:space="preserve">La Ministre a annoncé que la Polynésie française, et l’Ifrecor Polynésie, pourront désormais bénéficier des fonds de la Caisse des Dépôts et Consignation - CDC Biodiversité. </w:t>
      </w:r>
    </w:p>
    <w:p w:rsidR="00000000" w:rsidDel="00000000" w:rsidP="00000000" w:rsidRDefault="00000000" w:rsidRPr="00000000" w14:paraId="00000006">
      <w:pPr>
        <w:rPr>
          <w:sz w:val="20"/>
          <w:szCs w:val="20"/>
        </w:rPr>
      </w:pPr>
      <w:r w:rsidDel="00000000" w:rsidR="00000000" w:rsidRPr="00000000">
        <w:rPr>
          <w:sz w:val="20"/>
          <w:szCs w:val="20"/>
          <w:rtl w:val="0"/>
        </w:rPr>
        <w:t xml:space="preserve">“Pour les initiatives que vous soutenez, qui vont permettre d’accélérer la compréhension et l’action, nous avons mobilisé la Caisse des dépôts et consignations Biodiversité afin de soutenir des projets de restauration des écosystèmes marins et côtiers.”</w:t>
      </w:r>
    </w:p>
    <w:p w:rsidR="00000000" w:rsidDel="00000000" w:rsidP="00000000" w:rsidRDefault="00000000" w:rsidRPr="00000000" w14:paraId="00000007">
      <w:pPr>
        <w:rPr>
          <w:sz w:val="20"/>
          <w:szCs w:val="20"/>
        </w:rPr>
      </w:pPr>
      <w:r w:rsidDel="00000000" w:rsidR="00000000" w:rsidRPr="00000000">
        <w:rPr>
          <w:sz w:val="20"/>
          <w:szCs w:val="20"/>
          <w:rtl w:val="0"/>
        </w:rPr>
        <w:t xml:space="preserve">Des actions et solutions concrètes que Catherine Chabaud a pu découvrir directement sur le terrain auprès de l’équipe des Coral Gardeners, qui mobilisent le monde entier sur l’urgence de la protection des récifs et la restauration corallienne, du CRIOBE, l'un des plus éminents laboratoires français pour l'étude des écosystèmes coralliens, et des lauréats des Trophées TO’A Reef de l’Ifrecor Polynésie : Te mana o te moana, Association Oceania Moorea, Tama No Te Tairoto, Te Aho To'a, Mokarran Protection Society et Te Mā Tairoto.</w:t>
      </w:r>
    </w:p>
    <w:p w:rsidR="00000000" w:rsidDel="00000000" w:rsidP="00000000" w:rsidRDefault="00000000" w:rsidRPr="00000000" w14:paraId="00000008">
      <w:pPr>
        <w:numPr>
          <w:ilvl w:val="0"/>
          <w:numId w:val="2"/>
        </w:numPr>
        <w:ind w:left="720" w:hanging="360"/>
        <w:rPr>
          <w:sz w:val="20"/>
          <w:szCs w:val="20"/>
        </w:rPr>
      </w:pPr>
      <w:r w:rsidDel="00000000" w:rsidR="00000000" w:rsidRPr="00000000">
        <w:rPr>
          <w:b w:val="1"/>
          <w:bCs w:val="1"/>
          <w:sz w:val="20"/>
          <w:szCs w:val="20"/>
          <w:rtl w:val="0"/>
        </w:rPr>
        <w:t xml:space="preserve">Te mana o te moana</w:t>
      </w:r>
      <w:r w:rsidDel="00000000" w:rsidR="00000000" w:rsidRPr="00000000">
        <w:rPr>
          <w:sz w:val="20"/>
          <w:szCs w:val="20"/>
          <w:rtl w:val="0"/>
        </w:rPr>
        <w:t xml:space="preserve">, pour sa plateforme éducative en ligne ‘ITE dédiée à l’univers marin pour les enfants des 5 archipels</w:t>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b w:val="1"/>
          <w:bCs w:val="1"/>
          <w:sz w:val="20"/>
          <w:szCs w:val="20"/>
          <w:rtl w:val="0"/>
        </w:rPr>
        <w:t xml:space="preserve">Oceania</w:t>
      </w:r>
      <w:r w:rsidDel="00000000" w:rsidR="00000000" w:rsidRPr="00000000">
        <w:rPr>
          <w:sz w:val="20"/>
          <w:szCs w:val="20"/>
          <w:rtl w:val="0"/>
        </w:rPr>
        <w:t xml:space="preserve">, qui met l’intelligence artificielle au service de la protection des baleines avec Ocean-IA</w:t>
      </w:r>
    </w:p>
    <w:p w:rsidR="00000000" w:rsidDel="00000000" w:rsidP="00000000" w:rsidRDefault="00000000" w:rsidRPr="00000000" w14:paraId="0000000A">
      <w:pPr>
        <w:numPr>
          <w:ilvl w:val="0"/>
          <w:numId w:val="2"/>
        </w:numPr>
        <w:ind w:left="720" w:hanging="360"/>
        <w:rPr>
          <w:sz w:val="20"/>
          <w:szCs w:val="20"/>
        </w:rPr>
      </w:pPr>
      <w:r w:rsidDel="00000000" w:rsidR="00000000" w:rsidRPr="00000000">
        <w:rPr>
          <w:b w:val="1"/>
          <w:bCs w:val="1"/>
          <w:sz w:val="20"/>
          <w:szCs w:val="20"/>
          <w:rtl w:val="0"/>
        </w:rPr>
        <w:t xml:space="preserve">Tama no te tairoto</w:t>
      </w:r>
      <w:r w:rsidDel="00000000" w:rsidR="00000000" w:rsidRPr="00000000">
        <w:rPr>
          <w:sz w:val="20"/>
          <w:szCs w:val="20"/>
          <w:rtl w:val="0"/>
        </w:rPr>
        <w:t xml:space="preserve">, qui œuvre avec l’Académie tahitienne à la réalisation d’un lexique en reo Tahiti ‘A PARAU TE TO’A - Dire le corail</w:t>
      </w:r>
    </w:p>
    <w:p w:rsidR="00000000" w:rsidDel="00000000" w:rsidP="00000000" w:rsidRDefault="00000000" w:rsidRPr="00000000" w14:paraId="0000000B">
      <w:pPr>
        <w:numPr>
          <w:ilvl w:val="0"/>
          <w:numId w:val="2"/>
        </w:numPr>
        <w:ind w:left="720" w:hanging="360"/>
        <w:rPr>
          <w:sz w:val="20"/>
          <w:szCs w:val="20"/>
        </w:rPr>
      </w:pPr>
      <w:r w:rsidDel="00000000" w:rsidR="00000000" w:rsidRPr="00000000">
        <w:rPr>
          <w:b w:val="1"/>
          <w:bCs w:val="1"/>
          <w:sz w:val="20"/>
          <w:szCs w:val="20"/>
          <w:rtl w:val="0"/>
        </w:rPr>
        <w:t xml:space="preserve">Te Aho To’a</w:t>
      </w:r>
      <w:r w:rsidDel="00000000" w:rsidR="00000000" w:rsidRPr="00000000">
        <w:rPr>
          <w:sz w:val="20"/>
          <w:szCs w:val="20"/>
          <w:rtl w:val="0"/>
        </w:rPr>
        <w:t xml:space="preserve"> et son projet de science participative To’a Mata, pour la gestion de la prolifération des Taramea (Acanthaster solaris)</w:t>
      </w:r>
    </w:p>
    <w:p w:rsidR="00000000" w:rsidDel="00000000" w:rsidP="00000000" w:rsidRDefault="00000000" w:rsidRPr="00000000" w14:paraId="0000000C">
      <w:pPr>
        <w:numPr>
          <w:ilvl w:val="0"/>
          <w:numId w:val="2"/>
        </w:numPr>
        <w:ind w:left="720" w:hanging="360"/>
        <w:rPr>
          <w:sz w:val="20"/>
          <w:szCs w:val="20"/>
        </w:rPr>
      </w:pPr>
      <w:r w:rsidDel="00000000" w:rsidR="00000000" w:rsidRPr="00000000">
        <w:rPr>
          <w:b w:val="1"/>
          <w:bCs w:val="1"/>
          <w:sz w:val="20"/>
          <w:szCs w:val="20"/>
          <w:rtl w:val="0"/>
        </w:rPr>
        <w:t xml:space="preserve">Mokarran Protection Society</w:t>
      </w:r>
      <w:r w:rsidDel="00000000" w:rsidR="00000000" w:rsidRPr="00000000">
        <w:rPr>
          <w:sz w:val="20"/>
          <w:szCs w:val="20"/>
          <w:rtl w:val="0"/>
        </w:rPr>
        <w:t xml:space="preserve">, qui étudie et veille sur le grand requin marteau de l’atoll de Rangiroa</w:t>
      </w:r>
    </w:p>
    <w:p w:rsidR="00000000" w:rsidDel="00000000" w:rsidP="00000000" w:rsidRDefault="00000000" w:rsidRPr="00000000" w14:paraId="0000000D">
      <w:pPr>
        <w:numPr>
          <w:ilvl w:val="0"/>
          <w:numId w:val="2"/>
        </w:numPr>
        <w:ind w:left="720" w:hanging="360"/>
        <w:rPr>
          <w:sz w:val="20"/>
          <w:szCs w:val="20"/>
        </w:rPr>
      </w:pPr>
      <w:r w:rsidDel="00000000" w:rsidR="00000000" w:rsidRPr="00000000">
        <w:rPr>
          <w:b w:val="1"/>
          <w:bCs w:val="1"/>
          <w:sz w:val="20"/>
          <w:szCs w:val="20"/>
          <w:rtl w:val="0"/>
        </w:rPr>
        <w:t xml:space="preserve">Te Mā Tairoto</w:t>
      </w:r>
      <w:r w:rsidDel="00000000" w:rsidR="00000000" w:rsidRPr="00000000">
        <w:rPr>
          <w:sz w:val="20"/>
          <w:szCs w:val="20"/>
          <w:rtl w:val="0"/>
        </w:rPr>
        <w:t xml:space="preserve">, et sa solution automatisée de cartographie et d’extraction des déchets immergés dans les lagons perlicoles.</w:t>
      </w:r>
    </w:p>
    <w:p w:rsidR="00000000" w:rsidDel="00000000" w:rsidP="00000000" w:rsidRDefault="00000000" w:rsidRPr="00000000" w14:paraId="0000000E">
      <w:pPr>
        <w:rPr>
          <w:sz w:val="20"/>
          <w:szCs w:val="20"/>
        </w:rPr>
      </w:pPr>
      <w:r w:rsidDel="00000000" w:rsidR="00000000" w:rsidRPr="00000000">
        <w:rPr>
          <w:sz w:val="20"/>
          <w:szCs w:val="20"/>
          <w:rtl w:val="0"/>
        </w:rPr>
        <w:t xml:space="preserve">Les Trophées TO’A Reef mobilisent également les établissements scolaires avec les Prix des Écoles “Mon récif, ma culture”, de la maternelle au lycée, en partenariat avec la Direction générale de l’éducation et des enseignements de Polynésie française. La DGEE a aussi pu partagé les réalisations de nos jeunes “gardiens de l’Océan” et présenté à la Ministre de la Mer la montée en puissance des Aires Marines Éducatives, dont la Polynésie française est le berceau mondial.</w:t>
      </w:r>
    </w:p>
    <w:p w:rsidR="00000000" w:rsidDel="00000000" w:rsidP="00000000" w:rsidRDefault="00000000" w:rsidRPr="00000000" w14:paraId="0000000F">
      <w:pPr>
        <w:rPr>
          <w:sz w:val="20"/>
          <w:szCs w:val="20"/>
        </w:rPr>
      </w:pPr>
      <w:r w:rsidDel="00000000" w:rsidR="00000000" w:rsidRPr="00000000">
        <w:rPr>
          <w:sz w:val="20"/>
          <w:szCs w:val="20"/>
          <w:rtl w:val="0"/>
        </w:rPr>
        <w:t xml:space="preserve">L’Ifrecor Polynésie a ainsi lancé  “Les Trophées TO’A Reef”, pour soutenir et récompenser les actions et solutions pour la protection des récifs coralliens et lagons de Polynésie française. Depuis leur lancement en 2024, les Trophées TO’A Reef ont mobilisé pas moins de 73 candidatures réparties sur 16 îles et atolls dans les 5 archipels. 26 projets lauréats ont été distingués et valorisés par l’Ifrecor Polynésie.</w:t>
      </w:r>
    </w:p>
    <w:p w:rsidR="00000000" w:rsidDel="00000000" w:rsidP="00000000" w:rsidRDefault="00000000" w:rsidRPr="00000000" w14:paraId="00000010">
      <w:pPr>
        <w:rPr>
          <w:sz w:val="20"/>
          <w:szCs w:val="20"/>
        </w:rPr>
      </w:pPr>
      <w:r w:rsidDel="00000000" w:rsidR="00000000" w:rsidRPr="00000000">
        <w:rPr>
          <w:sz w:val="20"/>
          <w:szCs w:val="20"/>
          <w:rtl w:val="0"/>
        </w:rPr>
        <w:t xml:space="preserve">La </w:t>
      </w:r>
      <w:hyperlink r:id="rId7">
        <w:r w:rsidDel="00000000" w:rsidR="00000000" w:rsidRPr="00000000">
          <w:rPr>
            <w:color w:val="1155cc"/>
            <w:sz w:val="20"/>
            <w:szCs w:val="20"/>
            <w:u w:val="single"/>
            <w:rtl w:val="0"/>
          </w:rPr>
          <w:t xml:space="preserve">3</w:t>
        </w:r>
      </w:hyperlink>
      <w:hyperlink r:id="rId8">
        <w:r w:rsidDel="00000000" w:rsidR="00000000" w:rsidRPr="00000000">
          <w:rPr>
            <w:color w:val="1155cc"/>
            <w:sz w:val="20"/>
            <w:szCs w:val="20"/>
            <w:u w:val="single"/>
            <w:vertAlign w:val="superscript"/>
            <w:rtl w:val="0"/>
          </w:rPr>
          <w:t xml:space="preserve">e</w:t>
        </w:r>
      </w:hyperlink>
      <w:hyperlink r:id="rId9">
        <w:r w:rsidDel="00000000" w:rsidR="00000000" w:rsidRPr="00000000">
          <w:rPr>
            <w:color w:val="1155cc"/>
            <w:sz w:val="20"/>
            <w:szCs w:val="20"/>
            <w:u w:val="single"/>
            <w:rtl w:val="0"/>
          </w:rPr>
          <w:t xml:space="preserve"> édition de ce grand Concours</w:t>
        </w:r>
      </w:hyperlink>
      <w:r w:rsidDel="00000000" w:rsidR="00000000" w:rsidRPr="00000000">
        <w:rPr>
          <w:sz w:val="20"/>
          <w:szCs w:val="20"/>
          <w:rtl w:val="0"/>
        </w:rPr>
        <w:t xml:space="preserve"> s’adresse cette année aux associations, aux opérateurs de recherche, aux entreprises de l’économie bleue ainsi qu’aux établissements scolaires du Fenua. Dotée d’une enveloppe globale de 4,3 millions de FCFP, financée par le Ministère des Outre-mer, cette édition récompensera 13 solutions concrètes qui contribuent à la connaissance, à l’innovation, à la sensibilisation, à la restauration et à la valorisation de nos récifs et lagons.</w:t>
      </w:r>
    </w:p>
    <w:p w:rsidR="00000000" w:rsidDel="00000000" w:rsidP="00000000" w:rsidRDefault="00000000" w:rsidRPr="00000000" w14:paraId="00000011">
      <w:pPr>
        <w:pStyle w:val="Heading3"/>
        <w:rPr/>
      </w:pPr>
      <w:bookmarkStart w:colFirst="0" w:colLast="0" w:name="_heading=h.7a018p9milm0" w:id="1"/>
      <w:bookmarkEnd w:id="1"/>
      <w:r w:rsidDel="00000000" w:rsidR="00000000" w:rsidRPr="00000000">
        <w:rPr>
          <w:rtl w:val="0"/>
        </w:rPr>
        <w:t xml:space="preserve">EN PRATIQUE</w:t>
      </w:r>
    </w:p>
    <w:p w:rsidR="00000000" w:rsidDel="00000000" w:rsidP="00000000" w:rsidRDefault="00000000" w:rsidRPr="00000000" w14:paraId="00000012">
      <w:pPr>
        <w:pStyle w:val="Heading2"/>
        <w:rPr/>
      </w:pPr>
      <w:bookmarkStart w:colFirst="0" w:colLast="0" w:name="_heading=h.z4f0r2lst1gi" w:id="2"/>
      <w:bookmarkEnd w:id="2"/>
      <w:r w:rsidDel="00000000" w:rsidR="00000000" w:rsidRPr="00000000">
        <w:rPr>
          <w:rtl w:val="0"/>
        </w:rPr>
        <w:t xml:space="preserve">Candidater avant le lundi 5 octobre 2026</w:t>
      </w:r>
    </w:p>
    <w:p w:rsidR="00000000" w:rsidDel="00000000" w:rsidP="00000000" w:rsidRDefault="00000000" w:rsidRPr="00000000" w14:paraId="00000013">
      <w:pPr>
        <w:spacing w:after="240" w:before="240" w:lineRule="auto"/>
        <w:rPr>
          <w:sz w:val="20"/>
          <w:szCs w:val="20"/>
        </w:rPr>
      </w:pPr>
      <w:r w:rsidDel="00000000" w:rsidR="00000000" w:rsidRPr="00000000">
        <w:rPr>
          <w:sz w:val="20"/>
          <w:szCs w:val="20"/>
          <w:rtl w:val="0"/>
        </w:rPr>
        <w:t xml:space="preserve">Les candidats aux </w:t>
      </w:r>
      <w:hyperlink r:id="rId10">
        <w:r w:rsidDel="00000000" w:rsidR="00000000" w:rsidRPr="00000000">
          <w:rPr>
            <w:color w:val="1155cc"/>
            <w:sz w:val="20"/>
            <w:szCs w:val="20"/>
            <w:u w:val="single"/>
            <w:rtl w:val="0"/>
          </w:rPr>
          <w:t xml:space="preserve">Trophées TO’A Reef 2026</w:t>
        </w:r>
      </w:hyperlink>
      <w:r w:rsidDel="00000000" w:rsidR="00000000" w:rsidRPr="00000000">
        <w:rPr>
          <w:sz w:val="20"/>
          <w:szCs w:val="20"/>
          <w:rtl w:val="0"/>
        </w:rPr>
        <w:t xml:space="preserve"> doivent déposer leur dossier en ligne avant le </w:t>
      </w:r>
      <w:r w:rsidDel="00000000" w:rsidR="00000000" w:rsidRPr="00000000">
        <w:rPr>
          <w:b w:val="1"/>
          <w:bCs w:val="1"/>
          <w:sz w:val="20"/>
          <w:szCs w:val="20"/>
          <w:rtl w:val="0"/>
        </w:rPr>
        <w:t xml:space="preserve">lundi 5 octobre 2026 à midi</w:t>
      </w:r>
      <w:r w:rsidDel="00000000" w:rsidR="00000000" w:rsidRPr="00000000">
        <w:rPr>
          <w:sz w:val="20"/>
          <w:szCs w:val="20"/>
          <w:rtl w:val="0"/>
        </w:rPr>
        <w:t xml:space="preserve">. </w:t>
      </w:r>
    </w:p>
    <w:p w:rsidR="00000000" w:rsidDel="00000000" w:rsidP="00000000" w:rsidRDefault="00000000" w:rsidRPr="00000000" w14:paraId="00000014">
      <w:pPr>
        <w:numPr>
          <w:ilvl w:val="0"/>
          <w:numId w:val="1"/>
        </w:numPr>
        <w:spacing w:after="0" w:afterAutospacing="0" w:before="240" w:lineRule="auto"/>
        <w:ind w:left="720" w:hanging="360"/>
        <w:jc w:val="left"/>
        <w:rPr>
          <w:sz w:val="20"/>
          <w:szCs w:val="20"/>
          <w:u w:val="none"/>
        </w:rPr>
      </w:pPr>
      <w:r w:rsidDel="00000000" w:rsidR="00000000" w:rsidRPr="00000000">
        <w:rPr>
          <w:sz w:val="20"/>
          <w:szCs w:val="20"/>
          <w:rtl w:val="0"/>
        </w:rPr>
        <w:t xml:space="preserve">Pour les associations, opérateurs de recherche et acteurs privés : </w:t>
      </w:r>
      <w:hyperlink r:id="rId11">
        <w:r w:rsidDel="00000000" w:rsidR="00000000" w:rsidRPr="00000000">
          <w:rPr>
            <w:color w:val="1155cc"/>
            <w:sz w:val="20"/>
            <w:szCs w:val="20"/>
            <w:u w:val="single"/>
            <w:rtl w:val="0"/>
          </w:rPr>
          <w:t xml:space="preserve">https://forms.gle/6vS5ATSqHhrtaHMS7</w:t>
        </w:r>
      </w:hyperlink>
      <w:r w:rsidDel="00000000" w:rsidR="00000000" w:rsidRPr="00000000">
        <w:rPr>
          <w:rtl w:val="0"/>
        </w:rPr>
      </w:r>
    </w:p>
    <w:p w:rsidR="00000000" w:rsidDel="00000000" w:rsidP="00000000" w:rsidRDefault="00000000" w:rsidRPr="00000000" w14:paraId="00000015">
      <w:pPr>
        <w:numPr>
          <w:ilvl w:val="0"/>
          <w:numId w:val="1"/>
        </w:numPr>
        <w:spacing w:after="240" w:before="0" w:beforeAutospacing="0" w:lineRule="auto"/>
        <w:ind w:left="720" w:hanging="360"/>
        <w:jc w:val="left"/>
        <w:rPr>
          <w:sz w:val="20"/>
          <w:szCs w:val="20"/>
          <w:u w:val="none"/>
        </w:rPr>
      </w:pPr>
      <w:r w:rsidDel="00000000" w:rsidR="00000000" w:rsidRPr="00000000">
        <w:rPr>
          <w:sz w:val="20"/>
          <w:szCs w:val="20"/>
          <w:rtl w:val="0"/>
        </w:rPr>
        <w:t xml:space="preserve">Pour les établissements scolaires : </w:t>
      </w:r>
      <w:hyperlink r:id="rId12">
        <w:r w:rsidDel="00000000" w:rsidR="00000000" w:rsidRPr="00000000">
          <w:rPr>
            <w:color w:val="1155cc"/>
            <w:sz w:val="20"/>
            <w:szCs w:val="20"/>
            <w:u w:val="single"/>
            <w:rtl w:val="0"/>
          </w:rPr>
          <w:t xml:space="preserve">https://forms.gle/WUs7CotQUdkJoNAKA</w:t>
        </w:r>
      </w:hyperlink>
      <w:r w:rsidDel="00000000" w:rsidR="00000000" w:rsidRPr="00000000">
        <w:rPr>
          <w:rtl w:val="0"/>
        </w:rPr>
      </w:r>
    </w:p>
    <w:p w:rsidR="00000000" w:rsidDel="00000000" w:rsidP="00000000" w:rsidRDefault="00000000" w:rsidRPr="00000000" w14:paraId="00000016">
      <w:pPr>
        <w:spacing w:after="240" w:before="240" w:lineRule="auto"/>
        <w:jc w:val="left"/>
        <w:rPr>
          <w:sz w:val="20"/>
          <w:szCs w:val="20"/>
        </w:rPr>
      </w:pPr>
      <w:r w:rsidDel="00000000" w:rsidR="00000000" w:rsidRPr="00000000">
        <w:rPr>
          <w:b w:val="1"/>
          <w:bCs w:val="1"/>
          <w:sz w:val="20"/>
          <w:szCs w:val="20"/>
          <w:rtl w:val="0"/>
        </w:rPr>
        <w:t xml:space="preserve">PLUS D’INFOS : </w:t>
      </w:r>
      <w:hyperlink r:id="rId13">
        <w:r w:rsidDel="00000000" w:rsidR="00000000" w:rsidRPr="00000000">
          <w:rPr>
            <w:color w:val="1155cc"/>
            <w:sz w:val="20"/>
            <w:szCs w:val="20"/>
            <w:u w:val="single"/>
            <w:rtl w:val="0"/>
          </w:rPr>
          <w:t xml:space="preserve">https://ifrecor.fr/trophees-toa-reef-2026-de-lifrecor-polynesie-lancement-de-la-3e-edition/</w:t>
        </w:r>
      </w:hyperlink>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Oxygen">
    <w:embedRegular w:fontKey="{00000000-0000-0000-0000-000000000000}" r:id="rId1" w:subsetted="0"/>
    <w:embedBold w:fontKey="{00000000-0000-0000-0000-000000000000}" r:id="rId2" w:subsetted="0"/>
  </w:font>
  <w:font w:name="Roboto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80" w:before="0"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80" w:before="0" w:line="240" w:lineRule="auto"/>
      <w:jc w:val="center"/>
      <w:rPr>
        <w:rFonts w:ascii="Roboto Condensed" w:cs="Roboto Condensed" w:eastAsia="Roboto Condensed" w:hAnsi="Roboto Condensed"/>
        <w:i w:val="1"/>
        <w:iCs w:val="1"/>
        <w:color w:val="666666"/>
        <w:sz w:val="18"/>
        <w:szCs w:val="18"/>
      </w:rPr>
    </w:pPr>
    <w:r w:rsidDel="00000000" w:rsidR="00000000" w:rsidRPr="00000000">
      <w:rPr>
        <w:rFonts w:ascii="Roboto Condensed" w:cs="Roboto Condensed" w:eastAsia="Roboto Condensed" w:hAnsi="Roboto Condensed"/>
        <w:b w:val="1"/>
        <w:bCs w:val="1"/>
        <w:color w:val="646464"/>
        <w:sz w:val="18"/>
        <w:szCs w:val="18"/>
        <w:rtl w:val="0"/>
      </w:rPr>
      <w:t xml:space="preserve">COMITÉ LOCAL DE L’IFRECOR POLYNÉSIE FRANÇAISE</w:t>
      <w:br w:type="textWrapping"/>
    </w:r>
    <w:r w:rsidDel="00000000" w:rsidR="00000000" w:rsidRPr="00000000">
      <w:rPr>
        <w:rFonts w:ascii="Roboto Condensed" w:cs="Roboto Condensed" w:eastAsia="Roboto Condensed" w:hAnsi="Roboto Condensed"/>
        <w:i w:val="1"/>
        <w:iCs w:val="1"/>
        <w:color w:val="646464"/>
        <w:sz w:val="16"/>
        <w:szCs w:val="16"/>
        <w:rtl w:val="0"/>
      </w:rPr>
      <w:t xml:space="preserve">R</w:t>
    </w:r>
    <w:r w:rsidDel="00000000" w:rsidR="00000000" w:rsidRPr="00000000">
      <w:rPr>
        <w:rFonts w:ascii="Roboto Condensed" w:cs="Roboto Condensed" w:eastAsia="Roboto Condensed" w:hAnsi="Roboto Condensed"/>
        <w:i w:val="1"/>
        <w:iCs w:val="1"/>
        <w:color w:val="646464"/>
        <w:sz w:val="18"/>
        <w:szCs w:val="18"/>
        <w:rtl w:val="0"/>
      </w:rPr>
      <w:t xml:space="preserve">eprésentante et coordinatrice : Muriel PONTAROLLO -  Email : </w:t>
    </w:r>
    <w:hyperlink r:id="rId1">
      <w:r w:rsidDel="00000000" w:rsidR="00000000" w:rsidRPr="00000000">
        <w:rPr>
          <w:rFonts w:ascii="Roboto Condensed" w:cs="Roboto Condensed" w:eastAsia="Roboto Condensed" w:hAnsi="Roboto Condensed"/>
          <w:i w:val="1"/>
          <w:iCs w:val="1"/>
          <w:color w:val="1155cc"/>
          <w:sz w:val="18"/>
          <w:szCs w:val="18"/>
          <w:u w:val="single"/>
          <w:rtl w:val="0"/>
        </w:rPr>
        <w:t xml:space="preserve">ifrecor.pf@gmail.com</w:t>
      </w:r>
    </w:hyperlink>
    <w:r w:rsidDel="00000000" w:rsidR="00000000" w:rsidRPr="00000000">
      <w:rPr>
        <w:rFonts w:ascii="Roboto Condensed" w:cs="Roboto Condensed" w:eastAsia="Roboto Condensed" w:hAnsi="Roboto Condensed"/>
        <w:i w:val="1"/>
        <w:iCs w:val="1"/>
        <w:color w:val="646464"/>
        <w:sz w:val="18"/>
        <w:szCs w:val="18"/>
        <w:rtl w:val="0"/>
      </w:rPr>
      <w:t xml:space="preserve"> - </w:t>
    </w:r>
    <w:r w:rsidDel="00000000" w:rsidR="00000000" w:rsidRPr="00000000">
      <w:rPr>
        <w:rFonts w:ascii="Roboto Condensed" w:cs="Roboto Condensed" w:eastAsia="Roboto Condensed" w:hAnsi="Roboto Condensed"/>
        <w:i w:val="1"/>
        <w:iCs w:val="1"/>
        <w:color w:val="1155cc"/>
        <w:sz w:val="18"/>
        <w:szCs w:val="18"/>
        <w:highlight w:val="white"/>
        <w:rtl w:val="0"/>
      </w:rPr>
      <w:t xml:space="preserve"> </w:t>
    </w:r>
    <w:r w:rsidDel="00000000" w:rsidR="00000000" w:rsidRPr="00000000">
      <w:rPr>
        <w:rFonts w:ascii="Roboto Condensed" w:cs="Roboto Condensed" w:eastAsia="Roboto Condensed" w:hAnsi="Roboto Condensed"/>
        <w:i w:val="1"/>
        <w:iCs w:val="1"/>
        <w:color w:val="646464"/>
        <w:sz w:val="18"/>
        <w:szCs w:val="18"/>
        <w:rtl w:val="0"/>
      </w:rPr>
      <w:t xml:space="preserve">Tél : </w:t>
    </w:r>
    <w:r w:rsidDel="00000000" w:rsidR="00000000" w:rsidRPr="00000000">
      <w:rPr>
        <w:rFonts w:ascii="Roboto Condensed" w:cs="Roboto Condensed" w:eastAsia="Roboto Condensed" w:hAnsi="Roboto Condensed"/>
        <w:i w:val="1"/>
        <w:iCs w:val="1"/>
        <w:color w:val="1155cc"/>
        <w:sz w:val="18"/>
        <w:szCs w:val="18"/>
        <w:rtl w:val="0"/>
      </w:rPr>
      <w:t xml:space="preserve">+689 87 78 70 87 </w:t>
    </w:r>
    <w:r w:rsidDel="00000000" w:rsidR="00000000" w:rsidRPr="00000000">
      <w:rPr>
        <w:rFonts w:ascii="Roboto Condensed" w:cs="Roboto Condensed" w:eastAsia="Roboto Condensed" w:hAnsi="Roboto Condensed"/>
        <w:i w:val="1"/>
        <w:iCs w:val="1"/>
        <w:color w:val="666666"/>
        <w:sz w:val="18"/>
        <w:szCs w:val="18"/>
        <w:rtl w:val="0"/>
      </w:rPr>
      <w:t xml:space="preserve"> </w:t>
    </w:r>
    <w:r w:rsidDel="00000000" w:rsidR="00000000" w:rsidRPr="00000000">
      <w:rPr>
        <w:rFonts w:ascii="Roboto Condensed" w:cs="Roboto Condensed" w:eastAsia="Roboto Condensed" w:hAnsi="Roboto Condensed"/>
        <w:i w:val="1"/>
        <w:iCs w:val="1"/>
        <w:sz w:val="18"/>
        <w:szCs w:val="18"/>
        <w:rtl w:val="0"/>
      </w:rPr>
      <w:t xml:space="preserve">| </w:t>
    </w:r>
    <w:r w:rsidDel="00000000" w:rsidR="00000000" w:rsidRPr="00000000">
      <w:rPr>
        <w:rFonts w:ascii="Roboto Condensed" w:cs="Roboto Condensed" w:eastAsia="Roboto Condensed" w:hAnsi="Roboto Condensed"/>
        <w:i w:val="1"/>
        <w:iCs w:val="1"/>
        <w:color w:val="666666"/>
        <w:sz w:val="18"/>
        <w:szCs w:val="18"/>
        <w:rtl w:val="0"/>
      </w:rPr>
      <w:t xml:space="preserve">-10 GMT</w:t>
    </w:r>
  </w:p>
  <w:p w:rsidR="00000000" w:rsidDel="00000000" w:rsidP="00000000" w:rsidRDefault="00000000" w:rsidRPr="00000000" w14:paraId="00000020">
    <w:pPr>
      <w:spacing w:after="80" w:before="0" w:line="240" w:lineRule="auto"/>
      <w:jc w:val="right"/>
      <w:rPr>
        <w:color w:val="4c772d"/>
        <w:sz w:val="36"/>
        <w:szCs w:val="36"/>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spacing w:after="80" w:before="0" w:line="240" w:lineRule="auto"/>
      <w:jc w:val="right"/>
      <w:rPr>
        <w:color w:val="4c772d"/>
        <w:sz w:val="36"/>
        <w:szCs w:val="3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80" w:before="0" w:line="240" w:lineRule="auto"/>
      <w:jc w:val="center"/>
      <w:rPr>
        <w:rFonts w:ascii="Roboto Condensed" w:cs="Roboto Condensed" w:eastAsia="Roboto Condensed" w:hAnsi="Roboto Condensed"/>
        <w:i w:val="1"/>
        <w:iCs w:val="1"/>
        <w:color w:val="666666"/>
        <w:sz w:val="18"/>
        <w:szCs w:val="18"/>
      </w:rPr>
    </w:pPr>
    <w:r w:rsidDel="00000000" w:rsidR="00000000" w:rsidRPr="00000000">
      <w:rPr/>
      <mc:AlternateContent>
        <mc:Choice Requires="wpg">
          <w:drawing>
            <wp:inline distB="0" distT="0" distL="0" distR="0">
              <wp:extent cx="5826760" cy="114300"/>
              <wp:effectExtent b="0" l="0" r="0" t="0"/>
              <wp:docPr id="1" name=""/>
              <a:graphic>
                <a:graphicData uri="http://schemas.microsoft.com/office/word/2010/wordprocessingShape">
                  <wps:wsp>
                    <wps:cNvSpPr/>
                    <wps:cNvPr id="2" name="Shape 2"/>
                    <wps:spPr>
                      <a:xfrm>
                        <a:off x="2466000" y="3756240"/>
                        <a:ext cx="5760000" cy="4752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0" lIns="91425" spcFirstLastPara="1" rIns="91425" wrap="square" tIns="0">
                      <a:noAutofit/>
                    </wps:bodyPr>
                  </wps:wsp>
                </a:graphicData>
              </a:graphic>
            </wp:inline>
          </w:drawing>
        </mc:Choice>
        <mc:Fallback>
          <w:drawing>
            <wp:inline distB="0" distT="0" distL="0" distR="0">
              <wp:extent cx="5826760" cy="114300"/>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26760" cy="114300"/>
                      </a:xfrm>
                      <a:prstGeom prst="rect"/>
                      <a:ln/>
                    </pic:spPr>
                  </pic:pic>
                </a:graphicData>
              </a:graphic>
            </wp:inline>
          </w:drawing>
        </mc:Fallback>
      </mc:AlternateContent>
    </w:r>
    <w:r w:rsidDel="00000000" w:rsidR="00000000" w:rsidRPr="00000000">
      <w:rPr>
        <w:rFonts w:ascii="Roboto Condensed" w:cs="Roboto Condensed" w:eastAsia="Roboto Condensed" w:hAnsi="Roboto Condensed"/>
        <w:b w:val="1"/>
        <w:bCs w:val="1"/>
        <w:color w:val="646464"/>
        <w:sz w:val="18"/>
        <w:szCs w:val="18"/>
        <w:rtl w:val="0"/>
      </w:rPr>
      <w:t xml:space="preserve">COMITÉ LOCAL DE L’IFRECOR POLYNÉSIE FRANÇAISE</w:t>
      <w:br w:type="textWrapping"/>
    </w:r>
    <w:r w:rsidDel="00000000" w:rsidR="00000000" w:rsidRPr="00000000">
      <w:rPr>
        <w:rFonts w:ascii="Roboto Condensed" w:cs="Roboto Condensed" w:eastAsia="Roboto Condensed" w:hAnsi="Roboto Condensed"/>
        <w:i w:val="1"/>
        <w:iCs w:val="1"/>
        <w:color w:val="646464"/>
        <w:sz w:val="16"/>
        <w:szCs w:val="16"/>
        <w:rtl w:val="0"/>
      </w:rPr>
      <w:t xml:space="preserve">R</w:t>
    </w:r>
    <w:r w:rsidDel="00000000" w:rsidR="00000000" w:rsidRPr="00000000">
      <w:rPr>
        <w:rFonts w:ascii="Roboto Condensed" w:cs="Roboto Condensed" w:eastAsia="Roboto Condensed" w:hAnsi="Roboto Condensed"/>
        <w:i w:val="1"/>
        <w:iCs w:val="1"/>
        <w:color w:val="646464"/>
        <w:sz w:val="18"/>
        <w:szCs w:val="18"/>
        <w:rtl w:val="0"/>
      </w:rPr>
      <w:t xml:space="preserve">eprésentante et coordinatrice : Muriel PONTAROLLO -  Email : </w:t>
    </w:r>
    <w:hyperlink r:id="rId2">
      <w:r w:rsidDel="00000000" w:rsidR="00000000" w:rsidRPr="00000000">
        <w:rPr>
          <w:rFonts w:ascii="Roboto Condensed" w:cs="Roboto Condensed" w:eastAsia="Roboto Condensed" w:hAnsi="Roboto Condensed"/>
          <w:i w:val="1"/>
          <w:iCs w:val="1"/>
          <w:color w:val="1155cc"/>
          <w:sz w:val="18"/>
          <w:szCs w:val="18"/>
          <w:u w:val="single"/>
          <w:rtl w:val="0"/>
        </w:rPr>
        <w:t xml:space="preserve">ifrecor.pf@gmail.com</w:t>
      </w:r>
    </w:hyperlink>
    <w:r w:rsidDel="00000000" w:rsidR="00000000" w:rsidRPr="00000000">
      <w:rPr>
        <w:rFonts w:ascii="Roboto Condensed" w:cs="Roboto Condensed" w:eastAsia="Roboto Condensed" w:hAnsi="Roboto Condensed"/>
        <w:i w:val="1"/>
        <w:iCs w:val="1"/>
        <w:color w:val="646464"/>
        <w:sz w:val="18"/>
        <w:szCs w:val="18"/>
        <w:rtl w:val="0"/>
      </w:rPr>
      <w:t xml:space="preserve"> - </w:t>
    </w:r>
    <w:r w:rsidDel="00000000" w:rsidR="00000000" w:rsidRPr="00000000">
      <w:rPr>
        <w:rFonts w:ascii="Roboto Condensed" w:cs="Roboto Condensed" w:eastAsia="Roboto Condensed" w:hAnsi="Roboto Condensed"/>
        <w:i w:val="1"/>
        <w:iCs w:val="1"/>
        <w:color w:val="1155cc"/>
        <w:sz w:val="18"/>
        <w:szCs w:val="18"/>
        <w:highlight w:val="white"/>
        <w:rtl w:val="0"/>
      </w:rPr>
      <w:t xml:space="preserve"> </w:t>
    </w:r>
    <w:r w:rsidDel="00000000" w:rsidR="00000000" w:rsidRPr="00000000">
      <w:rPr>
        <w:rFonts w:ascii="Roboto Condensed" w:cs="Roboto Condensed" w:eastAsia="Roboto Condensed" w:hAnsi="Roboto Condensed"/>
        <w:i w:val="1"/>
        <w:iCs w:val="1"/>
        <w:color w:val="646464"/>
        <w:sz w:val="18"/>
        <w:szCs w:val="18"/>
        <w:rtl w:val="0"/>
      </w:rPr>
      <w:t xml:space="preserve">Tél : </w:t>
    </w:r>
    <w:r w:rsidDel="00000000" w:rsidR="00000000" w:rsidRPr="00000000">
      <w:rPr>
        <w:rFonts w:ascii="Roboto Condensed" w:cs="Roboto Condensed" w:eastAsia="Roboto Condensed" w:hAnsi="Roboto Condensed"/>
        <w:i w:val="1"/>
        <w:iCs w:val="1"/>
        <w:color w:val="1155cc"/>
        <w:sz w:val="18"/>
        <w:szCs w:val="18"/>
        <w:rtl w:val="0"/>
      </w:rPr>
      <w:t xml:space="preserve">+689 87 78 70 87 </w:t>
    </w:r>
    <w:r w:rsidDel="00000000" w:rsidR="00000000" w:rsidRPr="00000000">
      <w:rPr>
        <w:rFonts w:ascii="Roboto Condensed" w:cs="Roboto Condensed" w:eastAsia="Roboto Condensed" w:hAnsi="Roboto Condensed"/>
        <w:i w:val="1"/>
        <w:iCs w:val="1"/>
        <w:color w:val="666666"/>
        <w:sz w:val="18"/>
        <w:szCs w:val="18"/>
        <w:rtl w:val="0"/>
      </w:rPr>
      <w:t xml:space="preserve"> </w:t>
    </w:r>
    <w:r w:rsidDel="00000000" w:rsidR="00000000" w:rsidRPr="00000000">
      <w:rPr>
        <w:rFonts w:ascii="Roboto Condensed" w:cs="Roboto Condensed" w:eastAsia="Roboto Condensed" w:hAnsi="Roboto Condensed"/>
        <w:i w:val="1"/>
        <w:iCs w:val="1"/>
        <w:sz w:val="18"/>
        <w:szCs w:val="18"/>
        <w:rtl w:val="0"/>
      </w:rPr>
      <w:t xml:space="preserve">| </w:t>
    </w:r>
    <w:r w:rsidDel="00000000" w:rsidR="00000000" w:rsidRPr="00000000">
      <w:rPr>
        <w:rFonts w:ascii="Roboto Condensed" w:cs="Roboto Condensed" w:eastAsia="Roboto Condensed" w:hAnsi="Roboto Condensed"/>
        <w:i w:val="1"/>
        <w:iCs w:val="1"/>
        <w:color w:val="666666"/>
        <w:sz w:val="18"/>
        <w:szCs w:val="18"/>
        <w:rtl w:val="0"/>
      </w:rPr>
      <w:t xml:space="preserve">-10 GMT</w:t>
    </w:r>
  </w:p>
  <w:p w:rsidR="00000000" w:rsidDel="00000000" w:rsidP="00000000" w:rsidRDefault="00000000" w:rsidRPr="00000000" w14:paraId="00000023">
    <w:pPr>
      <w:spacing w:after="80" w:before="0" w:line="240" w:lineRule="auto"/>
      <w:jc w:val="right"/>
      <w:rPr>
        <w:color w:val="4c772d"/>
        <w:sz w:val="36"/>
        <w:szCs w:val="36"/>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spacing w:after="80" w:before="0" w:line="240" w:lineRule="auto"/>
      <w:jc w:val="right"/>
      <w:rPr>
        <w:color w:val="4c772d"/>
        <w:sz w:val="36"/>
        <w:szCs w:val="3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xygen" w:cs="Oxygen" w:eastAsia="Oxygen" w:hAnsi="Oxyge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1"/>
      <w:keepLines w:val="1"/>
      <w:spacing w:line="240" w:lineRule="auto"/>
      <w:jc w:val="right"/>
      <w:rPr>
        <w:b w:val="1"/>
        <w:bCs w:val="1"/>
        <w:color w:val="1c4587"/>
        <w:sz w:val="24"/>
        <w:szCs w:val="24"/>
      </w:rPr>
    </w:pPr>
    <w:bookmarkStart w:colFirst="0" w:colLast="0" w:name="_heading=h.nc7k63dawl33" w:id="3"/>
    <w:bookmarkEnd w:id="3"/>
    <w:r w:rsidDel="00000000" w:rsidR="00000000" w:rsidRPr="00000000">
      <w:rPr>
        <w:b w:val="1"/>
        <w:bCs w:val="1"/>
        <w:color w:val="1c4587"/>
        <w:sz w:val="24"/>
        <w:szCs w:val="24"/>
        <w:rtl w:val="0"/>
      </w:rPr>
      <w:t xml:space="preserve">COMMUNIQUÉ DE PRESSE</w:t>
    </w:r>
    <w:r w:rsidDel="00000000" w:rsidR="00000000" w:rsidRPr="00000000">
      <w:drawing>
        <wp:anchor allowOverlap="1" behindDoc="0" distB="114300" distT="114300" distL="114300" distR="114300" hidden="0" layoutInCell="1" locked="0" relativeHeight="0" simplePos="0">
          <wp:simplePos x="0" y="0"/>
          <wp:positionH relativeFrom="column">
            <wp:posOffset>19057</wp:posOffset>
          </wp:positionH>
          <wp:positionV relativeFrom="paragraph">
            <wp:posOffset>19057</wp:posOffset>
          </wp:positionV>
          <wp:extent cx="1798955" cy="76200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8955" cy="762000"/>
                  </a:xfrm>
                  <a:prstGeom prst="rect"/>
                  <a:ln/>
                </pic:spPr>
              </pic:pic>
            </a:graphicData>
          </a:graphic>
        </wp:anchor>
      </w:drawing>
    </w:r>
  </w:p>
  <w:p w:rsidR="00000000" w:rsidDel="00000000" w:rsidP="00000000" w:rsidRDefault="00000000" w:rsidRPr="00000000" w14:paraId="00000018">
    <w:pPr>
      <w:spacing w:after="200" w:before="0" w:line="240" w:lineRule="auto"/>
      <w:ind w:right="-182" w:firstLine="0"/>
      <w:rPr/>
    </w:pPr>
    <w:r w:rsidDel="00000000" w:rsidR="00000000" w:rsidRPr="00000000">
      <w:rPr>
        <w:rtl w:val="0"/>
      </w:rPr>
    </w:r>
  </w:p>
  <w:p w:rsidR="00000000" w:rsidDel="00000000" w:rsidP="00000000" w:rsidRDefault="00000000" w:rsidRPr="00000000" w14:paraId="00000019">
    <w:pPr>
      <w:spacing w:after="200" w:before="0" w:line="240" w:lineRule="auto"/>
      <w:ind w:right="-182" w:firstLine="0"/>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1"/>
      <w:keepLines w:val="1"/>
      <w:spacing w:line="240" w:lineRule="auto"/>
      <w:jc w:val="right"/>
      <w:rPr>
        <w:b w:val="1"/>
        <w:bCs w:val="1"/>
        <w:color w:val="1c4587"/>
        <w:sz w:val="24"/>
        <w:szCs w:val="24"/>
      </w:rPr>
    </w:pPr>
    <w:r w:rsidDel="00000000" w:rsidR="00000000" w:rsidRPr="00000000">
      <w:rPr>
        <w:b w:val="1"/>
        <w:bCs w:val="1"/>
        <w:color w:val="1c4587"/>
        <w:sz w:val="24"/>
        <w:szCs w:val="24"/>
        <w:rtl w:val="0"/>
      </w:rPr>
      <w:t xml:space="preserve">RÈGLEMENT DU CONCOURS</w:t>
    </w:r>
    <w:r w:rsidDel="00000000" w:rsidR="00000000" w:rsidRPr="00000000">
      <w:drawing>
        <wp:anchor allowOverlap="1" behindDoc="0" distB="114300" distT="114300" distL="114300" distR="114300" hidden="0" layoutInCell="1" locked="0" relativeHeight="0" simplePos="0">
          <wp:simplePos x="0" y="0"/>
          <wp:positionH relativeFrom="column">
            <wp:posOffset>19057</wp:posOffset>
          </wp:positionH>
          <wp:positionV relativeFrom="paragraph">
            <wp:posOffset>19057</wp:posOffset>
          </wp:positionV>
          <wp:extent cx="1798955" cy="7620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8955" cy="762000"/>
                  </a:xfrm>
                  <a:prstGeom prst="rect"/>
                  <a:ln/>
                </pic:spPr>
              </pic:pic>
            </a:graphicData>
          </a:graphic>
        </wp:anchor>
      </w:drawing>
    </w:r>
  </w:p>
  <w:p w:rsidR="00000000" w:rsidDel="00000000" w:rsidP="00000000" w:rsidRDefault="00000000" w:rsidRPr="00000000" w14:paraId="0000001B">
    <w:pPr>
      <w:pStyle w:val="Subtitle"/>
      <w:spacing w:after="0" w:before="0" w:line="240" w:lineRule="auto"/>
      <w:ind w:right="-40" w:firstLine="0"/>
      <w:jc w:val="right"/>
      <w:rPr/>
    </w:pPr>
    <w:r w:rsidDel="00000000" w:rsidR="00000000" w:rsidRPr="00000000">
      <w:rPr>
        <w:color w:val="00aeef"/>
        <w:rtl w:val="0"/>
      </w:rPr>
      <w:t xml:space="preserve">Les Trophées TO’A Reef 2026 </w:t>
      <w:br w:type="textWrapping"/>
      <w:t xml:space="preserve">de l’Ifrecor Polynésie</w:t>
    </w:r>
    <w:r w:rsidDel="00000000" w:rsidR="00000000" w:rsidRPr="00000000">
      <w:rPr>
        <w:rtl w:val="0"/>
      </w:rPr>
    </w:r>
  </w:p>
  <w:p w:rsidR="00000000" w:rsidDel="00000000" w:rsidP="00000000" w:rsidRDefault="00000000" w:rsidRPr="00000000" w14:paraId="0000001C">
    <w:pPr>
      <w:spacing w:after="200" w:before="0" w:lineRule="auto"/>
      <w:ind w:right="-182" w:firstLine="0"/>
      <w:rPr/>
    </w:pPr>
    <w:r w:rsidDel="00000000" w:rsidR="00000000" w:rsidRPr="00000000">
      <w:rPr/>
      <mc:AlternateContent>
        <mc:Choice Requires="wpg">
          <w:drawing>
            <wp:inline distB="0" distT="0" distL="0" distR="0">
              <wp:extent cx="5798185" cy="85725"/>
              <wp:effectExtent b="0" l="0" r="0" t="0"/>
              <wp:docPr id="2" name=""/>
              <a:graphic>
                <a:graphicData uri="http://schemas.microsoft.com/office/word/2010/wordprocessingShape">
                  <wps:wsp>
                    <wps:cNvSpPr/>
                    <wps:cNvPr id="3" name="Shape 3"/>
                    <wps:spPr>
                      <a:xfrm>
                        <a:off x="2480220" y="3770460"/>
                        <a:ext cx="573156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98185" cy="85725"/>
              <wp:effectExtent b="0" l="0" r="0" t="0"/>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98185" cy="85725"/>
                      </a:xfrm>
                      <a:prstGeom prst="rect"/>
                      <a:ln/>
                    </pic:spPr>
                  </pic:pic>
                </a:graphicData>
              </a:graphic>
            </wp:inline>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xygen" w:cs="Oxygen" w:eastAsia="Oxygen" w:hAnsi="Oxyge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xygen" w:cs="Oxygen" w:eastAsia="Oxygen" w:hAnsi="Oxygen"/>
        <w:sz w:val="22"/>
        <w:szCs w:val="22"/>
        <w:lang w:val="fr"/>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240" w:lineRule="auto"/>
      <w:jc w:val="left"/>
    </w:pPr>
    <w:rPr>
      <w:b w:val="1"/>
      <w:bCs w:val="1"/>
      <w:color w:val="0b5394"/>
      <w:sz w:val="40"/>
      <w:szCs w:val="40"/>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pPr>
    <w:rPr>
      <w:rFonts w:ascii="Oxygen" w:cs="Oxygen" w:eastAsia="Oxygen" w:hAnsi="Oxygen"/>
      <w:b w:val="0"/>
      <w:bCs w:val="0"/>
      <w:i w:val="0"/>
      <w:iCs w:val="0"/>
      <w:smallCaps w:val="0"/>
      <w:strike w:val="0"/>
      <w:color w:val="4c772d"/>
      <w:sz w:val="28"/>
      <w:szCs w:val="28"/>
      <w:u w:val="none"/>
      <w:shd w:fill="auto" w:val="clear"/>
      <w:vertAlign w:val="baseline"/>
    </w:rPr>
  </w:style>
  <w:style w:type="paragraph" w:styleId="Heading3">
    <w:name w:val="heading 3"/>
    <w:basedOn w:val="Normal"/>
    <w:next w:val="Normal"/>
    <w:pPr>
      <w:keepNext w:val="1"/>
      <w:keepLines w:val="1"/>
      <w:spacing w:after="0" w:before="200" w:line="259" w:lineRule="auto"/>
    </w:pPr>
    <w:rPr>
      <w:color w:val="1a6187"/>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Oxygen" w:cs="Oxygen" w:eastAsia="Oxygen" w:hAnsi="Oxygen"/>
      <w:b w:val="0"/>
      <w:bCs w:val="0"/>
      <w:i w:val="0"/>
      <w:iCs w:val="0"/>
      <w:smallCaps w:val="0"/>
      <w:strike w:val="0"/>
      <w:color w:val="00aeef"/>
      <w:sz w:val="28"/>
      <w:szCs w:val="28"/>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360" w:lineRule="auto"/>
      <w:ind w:left="720" w:right="0" w:hanging="360"/>
      <w:jc w:val="both"/>
    </w:pPr>
    <w:rPr>
      <w:rFonts w:ascii="Oxygen" w:cs="Oxygen" w:eastAsia="Oxygen" w:hAnsi="Oxygen"/>
      <w:b w:val="1"/>
      <w:bCs w:val="1"/>
      <w:i w:val="0"/>
      <w:iCs w:val="0"/>
      <w:smallCaps w:val="0"/>
      <w:strike w:val="0"/>
      <w:color w:val="66666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both"/>
    </w:pPr>
    <w:rPr>
      <w:rFonts w:ascii="Oxygen" w:cs="Oxygen" w:eastAsia="Oxygen" w:hAnsi="Oxygen"/>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center"/>
    </w:pPr>
    <w:rPr>
      <w:rFonts w:ascii="Oxygen" w:cs="Oxygen" w:eastAsia="Oxygen" w:hAnsi="Oxygen"/>
      <w:b w:val="0"/>
      <w:bCs w:val="0"/>
      <w:i w:val="0"/>
      <w:iCs w:val="0"/>
      <w:smallCaps w:val="0"/>
      <w:strike w:val="0"/>
      <w:color w:val="674ea7"/>
      <w:sz w:val="40"/>
      <w:szCs w:val="4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306" w:firstLine="0"/>
      <w:jc w:val="both"/>
    </w:pPr>
    <w:rPr>
      <w:rFonts w:ascii="Oxygen" w:cs="Oxygen" w:eastAsia="Oxygen" w:hAnsi="Oxygen"/>
      <w:b w:val="0"/>
      <w:bCs w:val="0"/>
      <w:i w:val="1"/>
      <w:iCs w:val="1"/>
      <w:smallCaps w:val="0"/>
      <w:strike w:val="0"/>
      <w:color w:val="666666"/>
      <w:sz w:val="24"/>
      <w:szCs w:val="24"/>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6vS5ATSqHhrtaHMS7" TargetMode="External"/><Relationship Id="rId10" Type="http://schemas.openxmlformats.org/officeDocument/2006/relationships/hyperlink" Target="https://ifrecor.fr/trophees-toa-reef-2026-de-lifrecor-polynesie-lancement-de-la-3e-edition/" TargetMode="External"/><Relationship Id="rId13" Type="http://schemas.openxmlformats.org/officeDocument/2006/relationships/hyperlink" Target="https://ifrecor.fr/trophees-toa-reef-2026-de-lifrecor-polynesie-lancement-de-la-3e-edition/" TargetMode="External"/><Relationship Id="rId12" Type="http://schemas.openxmlformats.org/officeDocument/2006/relationships/hyperlink" Target="https://forms.gle/WUs7CotQUdkJoNAK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frecor.fr/trophees-toa-reef-2026-de-lifrecor-polynesie-lancement-de-la-3e-edition/"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ifrecor.fr/trophees-toa-reef-2026-de-lifrecor-polynesie-lancement-de-la-3e-edition/" TargetMode="External"/><Relationship Id="rId8" Type="http://schemas.openxmlformats.org/officeDocument/2006/relationships/hyperlink" Target="https://ifrecor.fr/trophees-toa-reef-2026-de-lifrecor-polynesie-lancement-de-la-3e-edi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RobotoCondensed-regular.ttf"/><Relationship Id="rId4" Type="http://schemas.openxmlformats.org/officeDocument/2006/relationships/font" Target="fonts/RobotoCondensed-bold.ttf"/><Relationship Id="rId5" Type="http://schemas.openxmlformats.org/officeDocument/2006/relationships/font" Target="fonts/RobotoCondensed-italic.ttf"/><Relationship Id="rId6"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frecor.pf@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ifrecor.p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3w+QotcxWqLXLh7faGaZ5wojw==">CgMxLjAyDmgueHZ5cXRwamx2ZWw0Mg5oLjdhMDE4cDltaWxtMDIOaC56NGYwcjJsc3QxZ2kyDmgubmM3azYzZGF3bDMzOAByITFudk15WkpmWnFWel91SW9hbVBnWHdmLTA2aUdXOTNTNA==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